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アクセス権限管理表ひな形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DOC-ITB-004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IT・情報セキュリティ・BCP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アクセス管理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システムごとのアクセス権限を管理する。</w:t>
      </w:r>
    </w:p>
    <w:p>
      <w:r>
        <w:rPr>
          <w:rFonts w:ascii="Noto Sans CJK JP" w:hAnsi="Noto Sans CJK JP" w:eastAsia="Noto Sans CJK JP"/>
          <w:b w:val="0"/>
          <w:sz w:val="19"/>
        </w:rPr>
        <w:t>退職・異動時の削除漏れを防止する。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本ひな形は、IT・情報セキュリティ・BCPに関連する「アクセス権限管理表ひな形」の作成・確認・更新に適用する。対象範囲、対象部署、対象業務は会社の実情に合わせて修正する。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対象システム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権限区分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付与・変更・削除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定期棚卸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アクセス権限管理表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