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情報持ち出し管理規程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DOC-ITB-012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情報システム部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本書は、情報持ち出し管理規程に関する考え方、判断基準、運用手順を明確にし、業務品質の安定、リスク低減、関係者間の認識統一を図ることを目的とする。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4. 責任と権限</w:t>
      </w:r>
    </w:p>
    <w:p>
      <w:pPr>
        <w:spacing w:after="120"/>
      </w:pPr>
      <w:r>
        <w:rPr>
          <w:rFonts w:ascii="Yu Gothic" w:hAnsi="Yu Gothic" w:eastAsia="Yu Gothic"/>
          <w:sz w:val="20"/>
        </w:rPr>
        <w:t>情報システム部を主管部署とし、関係部署は運用、記録、報告、改善に協力する。重要な判断事項は、主管部署長または経営者の承認を得る。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違反時の対応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8. 見直し・改定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