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BCP基本計画書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DOC-BCP-001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IT・情報セキュリティ・BCP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経営企画部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災害・感染症・システム停止時の事業継続方針と復旧手順を定める。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基本方針</w:t>
      </w:r>
    </w:p>
    <w:p>
      <w:r>
        <w:rPr>
          <w:rFonts w:ascii="Noto Sans CJK JP" w:hAnsi="Noto Sans CJK JP" w:eastAsia="Noto Sans CJK JP"/>
          <w:b w:val="0"/>
          <w:sz w:val="21"/>
        </w:rPr>
        <w:t>人命安全を最優先とし、重要業務の早期復旧、顧客・取引先への影響低減、情報共有の徹底を基本方針とする。</w:t>
      </w:r>
    </w:p>
    <w:p>
      <w:pPr>
        <w:pStyle w:val="Heading1"/>
      </w:pPr>
      <w:r>
        <w:t>2. 想定リスク</w:t>
      </w:r>
    </w:p>
    <w:p>
      <w:pPr>
        <w:pStyle w:val="ListBullet"/>
      </w:pPr>
      <w:r>
        <w:rPr>
          <w:rFonts w:ascii="Noto Sans CJK JP" w:hAnsi="Noto Sans CJK JP" w:eastAsia="Noto Sans CJK JP"/>
        </w:rPr>
        <w:t>地震・風水害</w:t>
      </w:r>
    </w:p>
    <w:p>
      <w:pPr>
        <w:pStyle w:val="ListBullet"/>
      </w:pPr>
      <w:r>
        <w:rPr>
          <w:rFonts w:ascii="Noto Sans CJK JP" w:hAnsi="Noto Sans CJK JP" w:eastAsia="Noto Sans CJK JP"/>
        </w:rPr>
        <w:t>感染症拡大</w:t>
      </w:r>
    </w:p>
    <w:p>
      <w:pPr>
        <w:pStyle w:val="ListBullet"/>
      </w:pPr>
      <w:r>
        <w:rPr>
          <w:rFonts w:ascii="Noto Sans CJK JP" w:hAnsi="Noto Sans CJK JP" w:eastAsia="Noto Sans CJK JP"/>
        </w:rPr>
        <w:t>停電・断水</w:t>
      </w:r>
    </w:p>
    <w:p>
      <w:pPr>
        <w:pStyle w:val="ListBullet"/>
      </w:pPr>
      <w:r>
        <w:rPr>
          <w:rFonts w:ascii="Noto Sans CJK JP" w:hAnsi="Noto Sans CJK JP" w:eastAsia="Noto Sans CJK JP"/>
        </w:rPr>
        <w:t>物流停止</w:t>
      </w:r>
    </w:p>
    <w:p>
      <w:pPr>
        <w:pStyle w:val="ListBullet"/>
      </w:pPr>
      <w:r>
        <w:rPr>
          <w:rFonts w:ascii="Noto Sans CJK JP" w:hAnsi="Noto Sans CJK JP" w:eastAsia="Noto Sans CJK JP"/>
        </w:rPr>
        <w:t>主要取引先停止</w:t>
      </w:r>
    </w:p>
    <w:p>
      <w:pPr>
        <w:pStyle w:val="ListBullet"/>
      </w:pPr>
      <w:r>
        <w:rPr>
          <w:rFonts w:ascii="Noto Sans CJK JP" w:hAnsi="Noto Sans CJK JP" w:eastAsia="Noto Sans CJK JP"/>
        </w:rPr>
        <w:t>システム障害・サイバー攻撃</w:t>
      </w:r>
    </w:p>
    <w:p>
      <w:pPr>
        <w:pStyle w:val="Heading1"/>
      </w:pPr>
      <w:r>
        <w:t>3. 重要業務と復旧目標</w:t>
      </w:r>
    </w:p>
    <w:p>
      <w:pPr>
        <w:pStyle w:val="Heading2"/>
      </w:pPr>
      <w:r>
        <w:t>重要業務</w:t>
      </w:r>
    </w:p>
    <w:p>
      <w:pPr>
        <w:pStyle w:val="ListBullet"/>
      </w:pPr>
      <w:r>
        <w:rPr>
          <w:rFonts w:ascii="Noto Sans CJK JP" w:hAnsi="Noto Sans CJK JP" w:eastAsia="Noto Sans CJK JP"/>
        </w:rPr>
        <w:t>【業務名】</w:t>
      </w:r>
    </w:p>
    <w:p>
      <w:pPr>
        <w:pStyle w:val="ListBullet"/>
      </w:pPr>
      <w:r>
        <w:rPr>
          <w:rFonts w:ascii="Noto Sans CJK JP" w:hAnsi="Noto Sans CJK JP" w:eastAsia="Noto Sans CJK JP"/>
        </w:rPr>
        <w:t>【業務名】</w:t>
      </w:r>
    </w:p>
    <w:p>
      <w:pPr>
        <w:pStyle w:val="ListBullet"/>
      </w:pPr>
      <w:r>
        <w:rPr>
          <w:rFonts w:ascii="Noto Sans CJK JP" w:hAnsi="Noto Sans CJK JP" w:eastAsia="Noto Sans CJK JP"/>
        </w:rPr>
        <w:t>【業務名】</w:t>
      </w:r>
    </w:p>
    <w:p>
      <w:pPr>
        <w:pStyle w:val="Heading2"/>
      </w:pPr>
      <w:r>
        <w:t>復旧目標</w:t>
      </w:r>
    </w:p>
    <w:p>
      <w:pPr>
        <w:pStyle w:val="ListBullet"/>
      </w:pPr>
      <w:r>
        <w:rPr>
          <w:rFonts w:ascii="Noto Sans CJK JP" w:hAnsi="Noto Sans CJK JP" w:eastAsia="Noto Sans CJK JP"/>
        </w:rPr>
        <w:t>目標復旧時間：【時間】</w:t>
      </w:r>
    </w:p>
    <w:p>
      <w:pPr>
        <w:pStyle w:val="ListBullet"/>
      </w:pPr>
      <w:r>
        <w:rPr>
          <w:rFonts w:ascii="Noto Sans CJK JP" w:hAnsi="Noto Sans CJK JP" w:eastAsia="Noto Sans CJK JP"/>
        </w:rPr>
        <w:t>最低限必要な人員：【人数】</w:t>
      </w:r>
    </w:p>
    <w:p>
      <w:pPr>
        <w:pStyle w:val="ListBullet"/>
      </w:pPr>
      <w:r>
        <w:rPr>
          <w:rFonts w:ascii="Noto Sans CJK JP" w:hAnsi="Noto Sans CJK JP" w:eastAsia="Noto Sans CJK JP"/>
        </w:rPr>
        <w:t>代替手段：【記載】</w:t>
      </w:r>
    </w:p>
    <w:p>
      <w:pPr>
        <w:pStyle w:val="Heading1"/>
      </w:pPr>
      <w:r>
        <w:t>4. 連絡体制</w:t>
      </w:r>
    </w:p>
    <w:p>
      <w:r>
        <w:rPr>
          <w:rFonts w:ascii="Noto Sans CJK JP" w:hAnsi="Noto Sans CJK JP" w:eastAsia="Noto Sans CJK JP"/>
          <w:b w:val="0"/>
          <w:sz w:val="21"/>
        </w:rPr>
        <w:t>緊急連絡網、対策本部、社外連絡先、行政・顧客・仕入先への連絡方法を記載する。</w:t>
      </w:r>
    </w:p>
    <w:p>
      <w:pPr>
        <w:pStyle w:val="Heading1"/>
      </w:pPr>
      <w:r>
        <w:t>5. 訓練と見直し</w:t>
      </w:r>
    </w:p>
    <w:p>
      <w:r>
        <w:rPr>
          <w:rFonts w:ascii="Noto Sans CJK JP" w:hAnsi="Noto Sans CJK JP" w:eastAsia="Noto Sans CJK JP"/>
          <w:b w:val="0"/>
          <w:sz w:val="21"/>
        </w:rPr>
        <w:t>年1回以上の訓練または机上演習を実施し、課題を改善タスクとして管理する。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DOC-BCP-001　BCP基本計画書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