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作業手順書</w:t>
      </w:r>
    </w:p>
    <w:p>
      <w:pPr>
        <w:jc w:val="center"/>
      </w:pPr>
      <w:r>
        <w:rPr>
          <w:color w:val="6B7280"/>
          <w:sz w:val="18"/>
        </w:rPr>
        <w:t>DOC-MFG-003 / 製造管理 / 手順書ひな形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DOC-MFG-003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作業手順書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次回見直し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  <w:tc>
          <w:tcPr>
            <w:tcW w:type="dxa" w:w="2578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________________</w:t>
            </w:r>
          </w:p>
        </w:tc>
      </w:tr>
    </w:tbl>
    <w:p>
      <w:pPr>
        <w:pStyle w:val="Heading2"/>
      </w:pPr>
      <w:r>
        <w:t>利用上の注意</w:t>
      </w:r>
    </w:p>
    <w:p>
      <w:r>
        <w:t>本ひな形は中小企業向けのたたき台です。実運用にあたっては、自社の実態、法令、就業規則、契約条件、顧客要求事項に合わせて必ず修正してください。労務・法務・税務に関わる文書は専門家確認を推奨します。</w:t>
      </w:r>
    </w:p>
    <w:p>
      <w:r>
        <w:t>作業者が同じ品質・安全水準で作業できるよう、作業手順、注意点、判定基準を明確にするためのひな形です。</w:t>
      </w:r>
    </w:p>
    <w:p>
      <w:pPr>
        <w:pStyle w:val="Heading2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新規制定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記入欄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項目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記入内容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確認欄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備考</w:t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作業名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対象工程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必要工具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作業条件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品質確認項目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安全注意事項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578"/>
            <w:vAlign w:val="center"/>
            <w:shd w:fill="F3F4F6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異常時連絡先</w:t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1. 目的</w:t>
      </w:r>
    </w:p>
    <w:p>
      <w:r>
        <w:t>1. 目的について、自社の運用ルール、責任者、実施頻度、確認方法を記載する。</w:t>
      </w:r>
    </w:p>
    <w:p>
      <w:pPr>
        <w:pStyle w:val="Heading2"/>
      </w:pPr>
      <w:r>
        <w:t>2. 適用範囲</w:t>
      </w:r>
    </w:p>
    <w:p>
      <w:r>
        <w:t>2. 適用範囲について、自社の運用ルール、責任者、実施頻度、確認方法を記載する。</w:t>
      </w:r>
    </w:p>
    <w:p>
      <w:pPr>
        <w:pStyle w:val="Heading2"/>
      </w:pPr>
      <w:r>
        <w:t>3. 使用設備・工具</w:t>
      </w:r>
    </w:p>
    <w:p>
      <w:r>
        <w:t>3. 使用設備・工具について、自社の運用ルール、責任者、実施頻度、確認方法を記載する。</w:t>
      </w:r>
    </w:p>
    <w:p>
      <w:pPr>
        <w:pStyle w:val="Heading2"/>
      </w:pPr>
      <w:r>
        <w:t>4. 作業手順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手順No.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作業内容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品質確認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安全注意</w:t>
            </w:r>
          </w:p>
        </w:tc>
        <w:tc>
          <w:tcPr>
            <w:tcW w:type="dxa" w:w="2062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記録</w:t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2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3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4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5</w:t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62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>
      <w:pPr>
        <w:pStyle w:val="Heading2"/>
      </w:pPr>
      <w:r>
        <w:t>5. 品質・安全上の注意</w:t>
      </w:r>
    </w:p>
    <w:p>
      <w:r>
        <w:t>5. 品質・安全上の注意について、自社の運用ルール、責任者、実施頻度、確認方法を記載する。</w:t>
      </w:r>
    </w:p>
    <w:p>
      <w:pPr>
        <w:pStyle w:val="Heading2"/>
      </w:pPr>
      <w:r>
        <w:t>6. 異常時対応</w:t>
      </w:r>
    </w:p>
    <w:p>
      <w:r>
        <w:t>6. 異常時対応について、自社の運用ルール、責任者、実施頻度、確認方法を記載する。</w:t>
      </w:r>
    </w:p>
    <w:p>
      <w:pPr>
        <w:pStyle w:val="Heading2"/>
      </w:pPr>
      <w:r>
        <w:t>7. 記録・保管</w:t>
      </w:r>
    </w:p>
    <w:p>
      <w:r>
        <w:t>7. 記録・保管について、自社の運用ルール、責任者、実施頻度、確認方法を記載する。</w:t>
      </w:r>
    </w:p>
    <w:p>
      <w:pPr>
        <w:pStyle w:val="Heading2"/>
      </w:pPr>
      <w:r>
        <w:t>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  <w:tc>
          <w:tcPr>
            <w:tcW w:type="dxa" w:w="2578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最終承認</w:t>
            </w:r>
          </w:p>
        </w:tc>
      </w:tr>
      <w:tr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  <w:tc>
          <w:tcPr>
            <w:tcW w:type="dxa" w:w="2578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br/>
              <w:br/>
            </w:r>
          </w:p>
        </w:tc>
      </w:tr>
    </w:tbl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