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出荷管理規程</w:t>
      </w:r>
    </w:p>
    <w:p>
      <w:r>
        <w:rPr>
          <w:rFonts w:ascii="Yu Gothic" w:hAnsi="Yu Gothic" w:eastAsia="Yu Gothic"/>
          <w:sz w:val="20"/>
        </w:rPr>
        <w:t>中小企業向け標準ひな形（自社の実態に合わせて修正してください）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DOC-MFG-013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製造管理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規程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製造部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r>
        <w:rPr>
          <w:rFonts w:ascii="Yu Gothic" w:hAnsi="Yu Gothic" w:eastAsia="Yu Gothic"/>
          <w:sz w:val="20"/>
        </w:rPr>
        <w:t>本規程は、出荷管理に関する基本的な考え方、運用方法、責任分担を明確にし、業務の標準化とリスク低減を図ることを目的とする。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r>
        <w:rPr>
          <w:rFonts w:ascii="Yu Gothic" w:hAnsi="Yu Gothic" w:eastAsia="Yu Gothic"/>
          <w:sz w:val="20"/>
        </w:rPr>
        <w:t>本書は、当社の全役員・従業員、および対象業務に関与する外部委託先に適用する。必要に応じて部門別の細則を定める。</w:t>
      </w:r>
    </w:p>
    <w:p>
      <w:r>
        <w:rPr>
          <w:rFonts w:ascii="Yu Gothic" w:hAnsi="Yu Gothic" w:eastAsia="Yu Gothic"/>
          <w:b/>
          <w:sz w:val="26"/>
        </w:rPr>
        <w:t>3. 基本方針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4. 役割と責任</w:t>
      </w:r>
    </w:p>
    <w:p>
      <w:r>
        <w:rPr>
          <w:rFonts w:ascii="Yu Gothic" w:hAnsi="Yu Gothic" w:eastAsia="Yu Gothic"/>
          <w:sz w:val="20"/>
        </w:rPr>
        <w:t>製造部を主管部署とし、関係部署は本書に基づく運用、記録、報告、改善に協力する。最終責任者は経営者または部門責任者とする。</w:t>
      </w:r>
    </w:p>
    <w:p>
      <w:r>
        <w:rPr>
          <w:rFonts w:ascii="Yu Gothic" w:hAnsi="Yu Gothic" w:eastAsia="Yu Gothic"/>
          <w:b/>
          <w:sz w:val="26"/>
        </w:rPr>
        <w:t>5. 運用ルール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6. 記録と保管</w:t>
      </w:r>
    </w:p>
    <w:p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本書に基づく記録は、文書台帳または指定フォルダに保管する。保管期間、アクセス権限、廃棄方法は文書管理規程に従う。</w:t>
      </w:r>
    </w:p>
    <w:p>
      <w:r>
        <w:rPr>
          <w:rFonts w:ascii="Yu Gothic" w:hAnsi="Yu Gothic" w:eastAsia="Yu Gothic"/>
          <w:b/>
          <w:sz w:val="26"/>
        </w:rPr>
        <w:t>7. 見直しと改定</w:t>
      </w:r>
    </w:p>
    <w:p>
      <w:r>
        <w:rPr>
          <w:rFonts w:ascii="Yu Gothic" w:hAnsi="Yu Gothic" w:eastAsia="Yu Gothic"/>
          <w:sz w:val="20"/>
        </w:rPr>
        <w:t>主管部署は、少なくとも年1回、または法令改正・組織変更・重大な不具合発生時に内容を見直し、必要に応じて改定する。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別紙・関連様式</w:t>
      </w:r>
    </w:p>
    <w:p>
      <w:r>
        <w:rPr>
          <w:rFonts w:ascii="Yu Gothic" w:hAnsi="Yu Gothic" w:eastAsia="Yu Gothic"/>
          <w:sz w:val="20"/>
        </w:rPr>
        <w:t>必要に応じて、チェックリスト、申請書、報告書、台帳、教育記録などの関連様式を添付する。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r>
        <w:rPr>
          <w:rFonts w:ascii="Yu Gothic" w:hAnsi="Yu Gothic" w:eastAsia="Yu Gothic"/>
          <w:sz w:val="20"/>
        </w:rPr>
        <w:t>本ひな形はたたき台です。法務・労務・税務・安全衛生など専門性が高い事項は、専門家確認を行ったうえで正式運用してください。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