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出荷判定記録</w:t>
      </w:r>
    </w:p>
    <w:p>
      <w:pPr>
        <w:jc w:val="center"/>
      </w:pPr>
      <w:r>
        <w:rPr>
          <w:color w:val="6B7280"/>
          <w:sz w:val="18"/>
        </w:rPr>
        <w:t>DOC-MFG-020 / 製造管理 / 記録ひな形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DOC-MFG-020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出荷判定記録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本書は「出荷判定記録」を社内で整備・運用するための文書ひな形です。必要に応じて項目を追加・削除してください。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記録日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記録者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対象者・対象物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実施内容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確認結果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次回対応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