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年度経営計画書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DOC-MGT-003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経営方針・中期計画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計画書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経営企画部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本書は、年度経営計画書に関する考え方、判断基準、運用手順を明確にし、業務品質の安定、リスク低減、関係者間の認識統一を図ることを目的とする。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前提条件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3. 目標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4. 実施体制</w:t>
      </w:r>
    </w:p>
    <w:p>
      <w:pPr>
        <w:spacing w:after="120"/>
      </w:pPr>
      <w:r>
        <w:rPr>
          <w:rFonts w:ascii="Yu Gothic" w:hAnsi="Yu Gothic" w:eastAsia="Yu Gothic"/>
          <w:sz w:val="20"/>
        </w:rPr>
        <w:t>経営企画部を主管部署とし、関係部署は運用、記録、報告、改善に協力する。重要な判断事項は、主管部署長または経営者の承認を得る。</w:t>
      </w:r>
    </w:p>
    <w:p>
      <w:r>
        <w:rPr>
          <w:rFonts w:ascii="Yu Gothic" w:hAnsi="Yu Gothic" w:eastAsia="Yu Gothic"/>
          <w:b/>
          <w:sz w:val="26"/>
        </w:rPr>
        <w:t>5. 実施計画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担当者は、現状確認、必要情報の収集、関係者との協議、承認、実施、結果確認、記録保管の順に進める。緊急性が高い場合は、通常手順を簡略化しつつ事後記録を残す。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・担当者・承認者・記録保管場所を明確にする。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・処理結果、判断根拠、例外対応を記録する。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・未対応事項はタスク化し、完了まで追跡する。</w:t>
      </w:r>
    </w:p>
    <w:p>
      <w:r>
        <w:rPr>
          <w:rFonts w:ascii="Yu Gothic" w:hAnsi="Yu Gothic" w:eastAsia="Yu Gothic"/>
          <w:b/>
          <w:sz w:val="26"/>
        </w:rPr>
        <w:t>6. 進捗管理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担当者は、重要事項、遅延、異常、判断に迷う事項を速やかに主管部署へ報告する。主管部署は進捗を確認し、必要に応じて是正指示を行う。</w:t>
      </w:r>
    </w:p>
    <w:p>
      <w:r>
        <w:rPr>
          <w:rFonts w:ascii="Yu Gothic" w:hAnsi="Yu Gothic" w:eastAsia="Yu Gothic"/>
          <w:b/>
          <w:sz w:val="26"/>
        </w:rPr>
        <w:t>7. リスク対応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8. 見直し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