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購買管理規程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DOC-PUR-001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購買・在庫・外注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購買・在庫・外注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購買部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本書は、購買管理規程に関する考え方、判断基準、運用手順を明確にし、業務品質の安定、リスク低減、関係者間の認識統一を図ることを目的とする。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4. 責任と権限</w:t>
      </w:r>
    </w:p>
    <w:p>
      <w:pPr>
        <w:spacing w:after="120"/>
      </w:pPr>
      <w:r>
        <w:rPr>
          <w:rFonts w:ascii="Yu Gothic" w:hAnsi="Yu Gothic" w:eastAsia="Yu Gothic"/>
          <w:sz w:val="20"/>
        </w:rPr>
        <w:t>購買部を主管部署とし、関係部署は運用、記録、報告、改善に協力する。重要な判断事項は、主管部署長または経営者の承認を得る。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違反時の対応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8. 見直し・改定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