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発注承認手順書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DOC-PUR-002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購買・在庫・外注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購買・在庫・外注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手順書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購買部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本書は、発注承認手順書に関する考え方、判断基準、運用手順を明確にし、業務品質の安定、リスク低減、関係者間の認識統一を図ることを目的とする。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本書は、当社の役員・従業員および当該業務に関与する委託先、協力会社に適用する。部門固有の事情がある場合は、本書を基準として補足ルールを定める。</w:t>
      </w:r>
    </w:p>
    <w:p>
      <w:r>
        <w:rPr>
          <w:rFonts w:ascii="Yu Gothic" w:hAnsi="Yu Gothic" w:eastAsia="Yu Gothic"/>
          <w:b/>
          <w:sz w:val="26"/>
        </w:rPr>
        <w:t>3. 実施条件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4. 実施手順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担当者は、現状確認、必要情報の収集、関係者との協議、承認、実施、結果確認、記録保管の順に進める。緊急性が高い場合は、通常手順を簡略化しつつ事後記録を残す。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・担当者・承認者・記録保管場所を明確にする。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・処理結果、判断根拠、例外対応を記録する。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・未対応事項はタスク化し、完了まで追跡する。</w:t>
      </w:r>
    </w:p>
    <w:p>
      <w:r>
        <w:rPr>
          <w:rFonts w:ascii="Yu Gothic" w:hAnsi="Yu Gothic" w:eastAsia="Yu Gothic"/>
          <w:b/>
          <w:sz w:val="26"/>
        </w:rPr>
        <w:t>5. 判断基準</w:t>
      </w:r>
    </w:p>
    <w:p>
      <w:pPr>
        <w:spacing w:after="120"/>
      </w:pPr>
      <w:r>
        <w:rPr>
          <w:rFonts w:ascii="Yu Gothic" w:hAnsi="Yu Gothic" w:eastAsia="Yu Gothic"/>
          <w:sz w:val="20"/>
        </w:rPr>
        <w:t>判断基準は、法令・顧客要求・品質基準・安全基準・経済合理性・過去実績を踏まえて設定する。基準外の場合は、原因と対応方針を記録する。</w:t>
      </w:r>
    </w:p>
    <w:p>
      <w:r>
        <w:rPr>
          <w:rFonts w:ascii="Yu Gothic" w:hAnsi="Yu Gothic" w:eastAsia="Yu Gothic"/>
          <w:b/>
          <w:sz w:val="26"/>
        </w:rPr>
        <w:t>6. 報告・承認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担当者は、重要事項、遅延、異常、判断に迷う事項を速やかに主管部署へ報告する。主管部署は進捗を確認し、必要に応じて是正指示を行う。</w:t>
      </w:r>
    </w:p>
    <w:p>
      <w:r>
        <w:rPr>
          <w:rFonts w:ascii="Yu Gothic" w:hAnsi="Yu Gothic" w:eastAsia="Yu Gothic"/>
          <w:b/>
          <w:sz w:val="26"/>
        </w:rPr>
        <w:t>7. 記録・保管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本書に基づく記録は、文書台帳または指定フォルダに保管する。保管期間、アクセス権限、廃棄方法は文書管理規程および関連規程に従う。</w:t>
      </w:r>
    </w:p>
    <w:p>
      <w:r>
        <w:rPr>
          <w:rFonts w:ascii="Yu Gothic" w:hAnsi="Yu Gothic" w:eastAsia="Yu Gothic"/>
          <w:b/>
          <w:sz w:val="26"/>
        </w:rPr>
        <w:t>8. 見直し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