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仕入先選定基準書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DOC-PUR-003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購買・在庫・外注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基準書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購買部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本書は、仕入先選定基準書に関する考え方、判断基準、運用手順を明確にし、業務品質の安定、リスク低減、関係者間の認識統一を図ることを目的とする。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基準項目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4. 判定基準</w:t>
      </w:r>
    </w:p>
    <w:p>
      <w:pPr>
        <w:spacing w:after="120"/>
      </w:pPr>
      <w:r>
        <w:rPr>
          <w:rFonts w:ascii="Yu Gothic" w:hAnsi="Yu Gothic" w:eastAsia="Yu Gothic"/>
          <w:sz w:val="20"/>
        </w:rPr>
        <w:t>判断基準は、法令・顧客要求・品質基準・安全基準・経済合理性・過去実績を踏まえて設定する。基準外の場合は、原因と対応方針を記録する。</w:t>
      </w:r>
    </w:p>
    <w:p>
      <w:r>
        <w:rPr>
          <w:rFonts w:ascii="Yu Gothic" w:hAnsi="Yu Gothic" w:eastAsia="Yu Gothic"/>
          <w:b/>
          <w:sz w:val="26"/>
        </w:rPr>
        <w:t>5. 例外処理</w:t>
      </w:r>
    </w:p>
    <w:p>
      <w:pPr>
        <w:spacing w:after="120"/>
      </w:pPr>
      <w:r>
        <w:rPr>
          <w:rFonts w:ascii="Yu Gothic" w:hAnsi="Yu Gothic" w:eastAsia="Yu Gothic"/>
          <w:sz w:val="20"/>
        </w:rPr>
        <w:t>具体的な運用内容は、自社の規模、業種、組織体制、取引内容、利用システムに応じて定める。</w:t>
      </w:r>
    </w:p>
    <w:p>
      <w:r>
        <w:rPr>
          <w:rFonts w:ascii="Yu Gothic" w:hAnsi="Yu Gothic" w:eastAsia="Yu Gothic"/>
          <w:b/>
          <w:sz w:val="26"/>
        </w:rPr>
        <w:t>6. 記録方法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改定管理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