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受入検査基準書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DOC-QUA-012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基準書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本基準書は、受入検査に関する基本的な考え方、運用方法、責任分担を明確にし、業務の標準化とリスク低減を図ることを目的とする。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検査・判定項目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判定基準</w:t>
      </w:r>
    </w:p>
    <w:p>
      <w:r>
        <w:rPr>
          <w:rFonts w:ascii="Yu Gothic" w:hAnsi="Yu Gothic" w:eastAsia="Yu Gothic"/>
          <w:sz w:val="20"/>
        </w:rPr>
        <w:t>判定基準は、法令、顧客要求、社内基準、過去実績を踏まえて設定する。基準外の場合は、責任者の承認を得るまで次工程へ進めない。</w:t>
      </w:r>
    </w:p>
    <w:p>
      <w:r>
        <w:rPr>
          <w:rFonts w:ascii="Yu Gothic" w:hAnsi="Yu Gothic" w:eastAsia="Yu Gothic"/>
          <w:b/>
          <w:sz w:val="26"/>
        </w:rPr>
        <w:t>5. 記録方法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6. 異常時対応</w:t>
      </w:r>
    </w:p>
    <w:p>
      <w:r>
        <w:rPr>
          <w:rFonts w:ascii="Yu Gothic" w:hAnsi="Yu Gothic" w:eastAsia="Yu Gothic"/>
          <w:sz w:val="20"/>
        </w:rPr>
        <w:t>担当者は、発生事象の把握、関係者への連絡、必要な記録作成、原因確認、是正・予防処置の順に対応する。緊急性が高い場合は速やかに責任者へ報告する。</w:t>
      </w:r>
    </w:p>
    <w:p>
      <w:r>
        <w:rPr>
          <w:rFonts w:ascii="Yu Gothic" w:hAnsi="Yu Gothic" w:eastAsia="Yu Gothic"/>
          <w:b/>
          <w:sz w:val="26"/>
        </w:rPr>
        <w:t>7. 改定管理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