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sz w:val="36"/>
        </w:rPr>
        <w:t>計測器校正運用手順書</w:t>
      </w:r>
    </w:p>
    <w:p>
      <w:r>
        <w:rPr>
          <w:rFonts w:ascii="Yu Gothic" w:hAnsi="Yu Gothic" w:eastAsia="Yu Gothic"/>
          <w:sz w:val="20"/>
        </w:rPr>
        <w:t>中小企業向け標準ひな形（自社の実態に合わせて修正してください）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文書コード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DOC-QUA-013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カテゴリ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品質管理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文書区分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手順書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主管部署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品質管理部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リスク区分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中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版数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1.0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制定日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20XX-XX-XX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最終改定日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20XX-XX-XX</w:t>
            </w:r>
          </w:p>
        </w:tc>
      </w:tr>
    </w:tbl>
    <w:p>
      <w:r>
        <w:rPr>
          <w:rFonts w:ascii="Yu Gothic" w:hAnsi="Yu Gothic" w:eastAsia="Yu Gothic"/>
          <w:b/>
          <w:sz w:val="26"/>
        </w:rPr>
        <w:t>改定履歴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版数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改定日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改定内容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承認者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</w:tbl>
    <w:p>
      <w:r>
        <w:rPr>
          <w:rFonts w:ascii="Yu Gothic" w:hAnsi="Yu Gothic" w:eastAsia="Yu Gothic"/>
          <w:b/>
          <w:sz w:val="26"/>
        </w:rPr>
        <w:t>1. 目的</w:t>
      </w:r>
    </w:p>
    <w:p>
      <w:r>
        <w:rPr>
          <w:rFonts w:ascii="Yu Gothic" w:hAnsi="Yu Gothic" w:eastAsia="Yu Gothic"/>
          <w:sz w:val="20"/>
        </w:rPr>
        <w:t>本手順書は、計測器校正運用に関する基本的な考え方、運用方法、責任分担を明確にし、業務の標準化とリスク低減を図ることを目的とする。</w:t>
      </w:r>
    </w:p>
    <w:p>
      <w:r>
        <w:rPr>
          <w:rFonts w:ascii="Yu Gothic" w:hAnsi="Yu Gothic" w:eastAsia="Yu Gothic"/>
          <w:b/>
          <w:sz w:val="26"/>
        </w:rPr>
        <w:t>2. 適用範囲</w:t>
      </w:r>
    </w:p>
    <w:p>
      <w:r>
        <w:rPr>
          <w:rFonts w:ascii="Yu Gothic" w:hAnsi="Yu Gothic" w:eastAsia="Yu Gothic"/>
          <w:sz w:val="20"/>
        </w:rPr>
        <w:t>本書は、当社の全役員・従業員、および対象業務に関与する外部委託先に適用する。必要に応じて部門別の細則を定める。</w:t>
      </w:r>
    </w:p>
    <w:p>
      <w:r>
        <w:rPr>
          <w:rFonts w:ascii="Yu Gothic" w:hAnsi="Yu Gothic" w:eastAsia="Yu Gothic"/>
          <w:b/>
          <w:sz w:val="26"/>
        </w:rPr>
        <w:t>3. 実施タイミング</w:t>
      </w:r>
    </w:p>
    <w:p>
      <w:r>
        <w:rPr>
          <w:rFonts w:ascii="Yu Gothic" w:hAnsi="Yu Gothic" w:eastAsia="Yu Gothic"/>
          <w:sz w:val="20"/>
        </w:rPr>
        <w:t>具体的な運用内容は、当社の事業内容、組織体制、取引条件、法令・顧客要求事項に応じて定める。</w:t>
      </w:r>
    </w:p>
    <w:p>
      <w:r>
        <w:rPr>
          <w:rFonts w:ascii="Yu Gothic" w:hAnsi="Yu Gothic" w:eastAsia="Yu Gothic"/>
          <w:b/>
          <w:sz w:val="26"/>
        </w:rPr>
        <w:t>4. 手順</w:t>
      </w:r>
    </w:p>
    <w:p>
      <w:r>
        <w:rPr>
          <w:rFonts w:ascii="Yu Gothic" w:hAnsi="Yu Gothic" w:eastAsia="Yu Gothic"/>
          <w:sz w:val="20"/>
        </w:rPr>
        <w:t>担当者は、発生事象の把握、関係者への連絡、必要な記録作成、原因確認、是正・予防処置の順に対応する。緊急性が高い場合は速やかに責任者へ報告する。</w:t>
      </w:r>
    </w:p>
    <w:p>
      <w:r>
        <w:rPr>
          <w:rFonts w:ascii="Yu Gothic" w:hAnsi="Yu Gothic" w:eastAsia="Yu Gothic"/>
          <w:b/>
          <w:sz w:val="26"/>
        </w:rPr>
        <w:t>5. 判断基準</w:t>
      </w:r>
    </w:p>
    <w:p>
      <w:r>
        <w:rPr>
          <w:rFonts w:ascii="Yu Gothic" w:hAnsi="Yu Gothic" w:eastAsia="Yu Gothic"/>
          <w:sz w:val="20"/>
        </w:rPr>
        <w:t>判定基準は、法令、顧客要求、社内基準、過去実績を踏まえて設定する。基準外の場合は、責任者の承認を得るまで次工程へ進めない。</w:t>
      </w:r>
    </w:p>
    <w:p>
      <w:r>
        <w:rPr>
          <w:rFonts w:ascii="Yu Gothic" w:hAnsi="Yu Gothic" w:eastAsia="Yu Gothic"/>
          <w:b/>
          <w:sz w:val="26"/>
        </w:rPr>
        <w:t>6. 記録と報告</w:t>
      </w:r>
    </w:p>
    <w:p>
      <w:r>
        <w:rPr>
          <w:rFonts w:ascii="Yu Gothic" w:hAnsi="Yu Gothic" w:eastAsia="Yu Gothic"/>
          <w:sz w:val="20"/>
        </w:rPr>
        <w:t>本書に基づく記録は、文書台帳または指定フォルダに保管する。保管期間、アクセス権限、廃棄方法は文書管理規程に従う。</w:t>
      </w:r>
    </w:p>
    <w:p>
      <w:r>
        <w:rPr>
          <w:rFonts w:ascii="Yu Gothic" w:hAnsi="Yu Gothic" w:eastAsia="Yu Gothic"/>
          <w:b/>
          <w:sz w:val="26"/>
        </w:rPr>
        <w:t>7. 見直し</w:t>
      </w:r>
    </w:p>
    <w:p>
      <w:r>
        <w:rPr>
          <w:rFonts w:ascii="Yu Gothic" w:hAnsi="Yu Gothic" w:eastAsia="Yu Gothic"/>
          <w:sz w:val="20"/>
        </w:rPr>
        <w:t>主管部署は、少なくとも年1回、または法令改正・組織変更・重大な不具合発生時に内容を見直し、必要に応じて改定する。</w:t>
      </w:r>
    </w:p>
    <w:p>
      <w:r>
        <w:rPr>
          <w:rFonts w:ascii="Yu Gothic" w:hAnsi="Yu Gothic" w:eastAsia="Yu Gothic"/>
          <w:b/>
          <w:sz w:val="26"/>
        </w:rPr>
        <w:t>別紙・関連様式</w:t>
      </w:r>
    </w:p>
    <w:p>
      <w:r>
        <w:rPr>
          <w:rFonts w:ascii="Yu Gothic" w:hAnsi="Yu Gothic" w:eastAsia="Yu Gothic"/>
          <w:sz w:val="20"/>
        </w:rPr>
        <w:t>必要に応じて、チェックリスト、申請書、報告書、台帳、教育記録などの関連様式を添付する。</w:t>
      </w:r>
    </w:p>
    <w:p>
      <w:r>
        <w:rPr>
          <w:rFonts w:ascii="Yu Gothic" w:hAnsi="Yu Gothic" w:eastAsia="Yu Gothic"/>
          <w:b/>
          <w:sz w:val="26"/>
        </w:rPr>
        <w:t>運用上の注意</w:t>
      </w:r>
    </w:p>
    <w:p>
      <w:r>
        <w:rPr>
          <w:rFonts w:ascii="Yu Gothic" w:hAnsi="Yu Gothic" w:eastAsia="Yu Gothic"/>
          <w:sz w:val="20"/>
        </w:rPr>
        <w:t>本ひな形はたたき台です。法務・労務・税務・安全衛生など専門性が高い事項は、専門家確認を行ったうえで正式運用してください。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