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契約変更手順書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DOC-SAL-012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本手順書は、契約変更に関する基本的な考え方、運用方法、責任分担を明確にし、業務の標準化とリスク低減を図ることを目的とする。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実施タイミング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手順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r>
        <w:rPr>
          <w:rFonts w:ascii="Yu Gothic" w:hAnsi="Yu Gothic" w:eastAsia="Yu Gothic"/>
          <w:sz w:val="20"/>
        </w:rPr>
        <w:t>判定基準は、法令、顧客要求、社内基準、過去実績を踏まえて設定する。基準外の場合は、責任者の承認を得るまで次工程へ進めない。</w:t>
      </w:r>
    </w:p>
    <w:p>
      <w:r>
        <w:rPr>
          <w:rFonts w:ascii="Yu Gothic" w:hAnsi="Yu Gothic" w:eastAsia="Yu Gothic"/>
          <w:b/>
          <w:sz w:val="26"/>
        </w:rPr>
        <w:t>6. 記録と報告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