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取引先管理規程</w:t>
      </w:r>
    </w:p>
    <w:p>
      <w:pPr>
        <w:jc w:val="center"/>
      </w:pPr>
      <w:r>
        <w:rPr>
          <w:rFonts w:ascii="Noto Sans CJK JP" w:hAnsi="Noto Sans CJK JP" w:eastAsia="Noto Sans CJK JP"/>
          <w:sz w:val="24"/>
        </w:rPr>
        <w:t>文書ひな形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DOC-SALES-002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営業・契約・取引先管理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営業部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制定日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承認者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【承認者名】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適用範囲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【対象部門・対象業務を記載】</w:t>
            </w:r>
          </w:p>
        </w:tc>
      </w:tr>
      <w:tr>
        <w:tc>
          <w:tcPr>
            <w:tcW w:type="dxa" w:w="4986"/>
            <w:shd w:fill="E5E7EB"/>
            <w:vAlign w:val="center"/>
          </w:tcPr>
          <w:p>
            <w:r/>
            <w:r>
              <w:rPr>
                <w:b/>
                <w:sz w:val="20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20"/>
              </w:rPr>
              <w:t>取引先の登録、審査、与信、反社確認、定期見直しを定める。</w:t>
            </w:r>
          </w:p>
        </w:tc>
      </w:tr>
    </w:tbl>
    <w:p/>
    <w:p>
      <w:pPr>
        <w:pStyle w:val="Heading1"/>
      </w:pPr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版数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改定日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改定内容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作成</w:t>
            </w:r>
          </w:p>
        </w:tc>
        <w:tc>
          <w:tcPr>
            <w:tcW w:type="dxa" w:w="1994"/>
            <w:shd w:fill="E5E7EB"/>
          </w:tcPr>
          <w:p>
            <w:r/>
            <w:r>
              <w:rPr>
                <w:b/>
                <w:sz w:val="20"/>
              </w:rPr>
              <w:t>承認</w:t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YYYY/MM/DD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  <w:t>初版制定</w:t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94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第1条 目的</w:t>
      </w:r>
    </w:p>
    <w:p>
      <w:r>
        <w:rPr>
          <w:rFonts w:ascii="Noto Sans CJK JP" w:hAnsi="Noto Sans CJK JP" w:eastAsia="Noto Sans CJK JP"/>
          <w:b w:val="0"/>
          <w:sz w:val="21"/>
        </w:rPr>
        <w:t>本規程は、取引先の登録、審査、与信、反社会的勢力確認、定期見直しの手順を定め、取引リスクを管理することを目的とする。</w:t>
      </w:r>
    </w:p>
    <w:p>
      <w:pPr>
        <w:pStyle w:val="Heading1"/>
      </w:pPr>
      <w:r>
        <w:t>第2条 新規登録手順</w:t>
      </w:r>
    </w:p>
    <w:p>
      <w:pPr>
        <w:pStyle w:val="ListBullet"/>
      </w:pPr>
      <w:r>
        <w:rPr>
          <w:rFonts w:ascii="Noto Sans CJK JP" w:hAnsi="Noto Sans CJK JP" w:eastAsia="Noto Sans CJK JP"/>
        </w:rPr>
        <w:t>会社情報の取得</w:t>
      </w:r>
    </w:p>
    <w:p>
      <w:pPr>
        <w:pStyle w:val="ListBullet"/>
      </w:pPr>
      <w:r>
        <w:rPr>
          <w:rFonts w:ascii="Noto Sans CJK JP" w:hAnsi="Noto Sans CJK JP" w:eastAsia="Noto Sans CJK JP"/>
        </w:rPr>
        <w:t>担当部署による取引目的の確認</w:t>
      </w:r>
    </w:p>
    <w:p>
      <w:pPr>
        <w:pStyle w:val="ListBullet"/>
      </w:pPr>
      <w:r>
        <w:rPr>
          <w:rFonts w:ascii="Noto Sans CJK JP" w:hAnsi="Noto Sans CJK JP" w:eastAsia="Noto Sans CJK JP"/>
        </w:rPr>
        <w:t>与信確認</w:t>
      </w:r>
    </w:p>
    <w:p>
      <w:pPr>
        <w:pStyle w:val="ListBullet"/>
      </w:pPr>
      <w:r>
        <w:rPr>
          <w:rFonts w:ascii="Noto Sans CJK JP" w:hAnsi="Noto Sans CJK JP" w:eastAsia="Noto Sans CJK JP"/>
        </w:rPr>
        <w:t>反社会的勢力確認</w:t>
      </w:r>
    </w:p>
    <w:p>
      <w:pPr>
        <w:pStyle w:val="ListBullet"/>
      </w:pPr>
      <w:r>
        <w:rPr>
          <w:rFonts w:ascii="Noto Sans CJK JP" w:hAnsi="Noto Sans CJK JP" w:eastAsia="Noto Sans CJK JP"/>
        </w:rPr>
        <w:t>承認後の取引開始</w:t>
      </w:r>
    </w:p>
    <w:p>
      <w:pPr>
        <w:pStyle w:val="Heading1"/>
      </w:pPr>
      <w:r>
        <w:t>第3条 定期見直し</w:t>
      </w:r>
    </w:p>
    <w:p>
      <w:pPr>
        <w:pStyle w:val="ListBullet"/>
      </w:pPr>
      <w:r>
        <w:rPr>
          <w:rFonts w:ascii="Noto Sans CJK JP" w:hAnsi="Noto Sans CJK JP" w:eastAsia="Noto Sans CJK JP"/>
        </w:rPr>
        <w:t>主要取引先は年1回以上見直す。</w:t>
      </w:r>
    </w:p>
    <w:p>
      <w:pPr>
        <w:pStyle w:val="ListBullet"/>
      </w:pPr>
      <w:r>
        <w:rPr>
          <w:rFonts w:ascii="Noto Sans CJK JP" w:hAnsi="Noto Sans CJK JP" w:eastAsia="Noto Sans CJK JP"/>
        </w:rPr>
        <w:t>与信状況、支払遅延、契約更新状況を確認する。</w:t>
      </w:r>
    </w:p>
    <w:p>
      <w:pPr>
        <w:pStyle w:val="ListBullet"/>
      </w:pPr>
      <w:r>
        <w:rPr>
          <w:rFonts w:ascii="Noto Sans CJK JP" w:hAnsi="Noto Sans CJK JP" w:eastAsia="Noto Sans CJK JP"/>
        </w:rPr>
        <w:t>リスクが高い場合は取引条件の見直しを行う。</w:t>
      </w:r>
    </w:p>
    <w:p>
      <w:pPr>
        <w:pStyle w:val="Heading1"/>
      </w:pPr>
      <w:r>
        <w:t>別紙・添付様式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様式名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用途</w:t>
            </w:r>
          </w:p>
        </w:tc>
        <w:tc>
          <w:tcPr>
            <w:tcW w:type="dxa" w:w="3324"/>
            <w:shd w:fill="E5E7EB"/>
          </w:tcPr>
          <w:p>
            <w:r/>
            <w:r>
              <w:rPr>
                <w:b/>
                <w:sz w:val="20"/>
              </w:rPr>
              <w:t>保管場所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20"/>
              </w:rPr>
              <w:t>【記載】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※本ひな形はたたき台です。実運用前に自社実態・専門家確認により調整してください。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DOC-SALES-002　取引先管理規程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