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個人情報保護方針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DOC-GOV-020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基本方針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・当社は、個人情報保護に関する重要性を認識し、適切な管理体制を整備する。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・関係法令、契約、社会的要請を踏まえ、継続的な改善に取り組む。</w:t>
      </w:r>
    </w:p>
    <w:p>
      <w:pPr>
        <w:pStyle w:val="Heading1"/>
      </w:pPr>
      <w:r>
        <w:t>2. 管理体制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・各部門は、自部門の業務に関係する事項について適切に管理する。</w:t>
      </w:r>
    </w:p>
    <w:p>
      <w:pPr>
        <w:pStyle w:val="Heading1"/>
      </w:pPr>
      <w:r>
        <w:t>3. 具体的な取組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・ルール・手順の整備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・教育・周知の実施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・記録の作成・保管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・定期的な見直し</w:t>
      </w:r>
    </w:p>
    <w:p>
      <w:pPr>
        <w:pStyle w:val="Heading1"/>
      </w:pPr>
      <w:r>
        <w:t>4. 問い合わせ・相談窓口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・窓口部署：［記入］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・連絡先：［記入］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・受付時間：［記入］</w:t>
      </w:r>
    </w:p>
    <w:p>
      <w:pPr>
        <w:pStyle w:val="Heading1"/>
      </w:pPr>
      <w:r>
        <w:t>5. 改定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・本方針は、必要に応じて見直し、改定する。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