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緊急時対応手順書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DOC-SAF-011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安全衛生・環境・化学物質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安全環境部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重要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初版制定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1. 目的</w:t>
      </w:r>
    </w:p>
    <w:p>
      <w:r>
        <w:t>本手順書は、緊急時対応に関する対応手順、役割、記録方法を明確にする。</w:t>
      </w:r>
    </w:p>
    <w:p>
      <w:pPr>
        <w:pStyle w:val="Heading1"/>
      </w:pPr>
      <w:r>
        <w:t>2. 適用範囲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・対象部門：［記入］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・対象業務・設備・システム：［記入］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・対象事象：［記入］</w:t>
      </w:r>
    </w:p>
    <w:p>
      <w:pPr>
        <w:pStyle w:val="Heading1"/>
      </w:pPr>
      <w:r>
        <w:t>3. 役割と連絡体制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役割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担当部署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主な対応</w:t>
            </w:r>
          </w:p>
        </w:tc>
        <w:tc>
          <w:tcPr>
            <w:tcW w:type="dxa" w:w="255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連絡先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初動対応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責任者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支援部門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外部連絡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>
      <w:pPr>
        <w:pStyle w:val="Heading1"/>
      </w:pPr>
      <w:r>
        <w:t>4. 対応手順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・発見・受付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・初期確認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・影響範囲の把握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・応急対応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・関係者連絡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・原因分析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・再発防止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・完了報告</w:t>
      </w:r>
    </w:p>
    <w:p>
      <w:pPr>
        <w:pStyle w:val="Heading1"/>
      </w:pPr>
      <w:r>
        <w:t>5. 記録・報告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・発生日時、発見者、状況、対応内容、判断者、完了日を記録する。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・重大事案は経営層へ報告する。</w:t>
      </w:r>
    </w:p>
    <w:p>
      <w:pPr>
        <w:pStyle w:val="Heading1"/>
      </w:pPr>
      <w:r>
        <w:t>6. 訓練・見直し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・年1回以上、手順の有効性を確認する。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・実際の対応後は振り返りを実施し、必要に応じて改定する。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