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工程管理規程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DOC-MFG-005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本書は、「工程管理規程」に関する基本的な運用ルール、責任分担、記録方法を定め、業務の属人化・漏れ・判断ばらつきを防止することを目的とする。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本書は、当社における製造管理に関係する部門、担当者、委託先、関連業務に適用する。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主要工程の管理項目、基準値、記録方法を定める</w:t>
      </w:r>
    </w:p>
    <w:p>
      <w:pPr>
        <w:pStyle w:val="ListNumber"/>
      </w:pPr>
      <w:r>
        <w:t>異常発生時の停止・報告・再開判断を定める</w:t>
      </w:r>
    </w:p>
    <w:p>
      <w:pPr>
        <w:pStyle w:val="ListNumber"/>
      </w:pPr>
      <w:r>
        <w:t>工程能力と不良率のレビューを実施する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DOC-MFG-005 工程管理規程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