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4M変更管理規程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DOC-MFG-006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製造部／品質管理部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本書は、「4M変更管理規程」に関する基本的な運用ルール、責任分担、記録方法を定め、業務の属人化・漏れ・判断ばらつきを防止することを目的とする。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人・設備・材料・方法の変更を事前申請対象にする</w:t>
      </w:r>
    </w:p>
    <w:p>
      <w:pPr>
        <w:pStyle w:val="ListNumber"/>
      </w:pPr>
      <w:r>
        <w:t>変更影響評価と承認ルートを定める</w:t>
      </w:r>
    </w:p>
    <w:p>
      <w:pPr>
        <w:pStyle w:val="ListNumber"/>
      </w:pPr>
      <w:r>
        <w:t>変更後の初品確認・効果確認を記録する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製造部／品質管理部は、本書の維持管理、改定、関係者への周知を行う。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DOC-MFG-006 4M変更管理規程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