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18"/>
        </w:rPr>
        <w:t>中小企業・経営ポータル 文書ひな形 第4弾</w:t>
      </w:r>
    </w:p>
    <w:p>
      <w:pPr>
        <w:jc w:val="center"/>
      </w:pPr>
      <w:r>
        <w:rPr>
          <w:b/>
          <w:sz w:val="36"/>
        </w:rPr>
        <w:t>在庫管理規程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DOC-MFG-008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製造管理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製造部／倉庫管理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</w:tbl>
    <w:p>
      <w:r>
        <w:t>※本ひな形は中小企業向けのたたき台です。業種・法令・契約条件に応じて、専門家確認のうえ調整してください。</w:t>
      </w:r>
    </w:p>
    <w:p>
      <w:pPr>
        <w:pStyle w:val="Heading1"/>
      </w:pPr>
      <w:r>
        <w:t>1. 目的</w:t>
      </w:r>
    </w:p>
    <w:p>
      <w:r>
        <w:t>本書は、「在庫管理規程」に関する基本的な運用ルール、責任分担、記録方法を定め、業務の属人化・漏れ・判断ばらつきを防止することを目的とする。</w:t>
      </w:r>
    </w:p>
    <w:p>
      <w:pPr>
        <w:pStyle w:val="Heading1"/>
      </w:pPr>
      <w:r>
        <w:t>2. 適用範囲</w:t>
      </w:r>
    </w:p>
    <w:p>
      <w:r>
        <w:t>本書は、当社における製造管理に関係する部門、担当者、委託先、関連業務に適用する。</w:t>
      </w:r>
    </w:p>
    <w:p>
      <w:pPr>
        <w:pStyle w:val="Heading1"/>
      </w:pPr>
      <w:r>
        <w:t>3. 基本方針</w:t>
      </w:r>
    </w:p>
    <w:p>
      <w:pPr>
        <w:pStyle w:val="ListNumber"/>
      </w:pPr>
      <w:r>
        <w:t>入出庫、保管、先入先出、棚卸の基本ルールを定める</w:t>
      </w:r>
    </w:p>
    <w:p>
      <w:pPr>
        <w:pStyle w:val="ListNumber"/>
      </w:pPr>
      <w:r>
        <w:t>期限切れ・劣化・滞留品の処置基準を定める</w:t>
      </w:r>
    </w:p>
    <w:p>
      <w:pPr>
        <w:pStyle w:val="ListNumber"/>
      </w:pPr>
      <w:r>
        <w:t>在庫差異発生時の調査と承認を定める</w:t>
      </w:r>
    </w:p>
    <w:p>
      <w:pPr>
        <w:pStyle w:val="Heading1"/>
      </w:pPr>
      <w:r>
        <w:t>4.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製造部／倉庫管理は、本書の維持管理、改定、関係者への周知を行う。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実施部門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実施部門は、本書に基づき日常業務を行い、必要な記録を作成・保管する。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承認者は、重要な判断、例外処理、是正処置の妥当性を確認する。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経営層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経営層は、重大リスクや未対応事項について報告を受け、必要な資源配分を行う。</w:t>
            </w:r>
          </w:p>
        </w:tc>
      </w:tr>
    </w:tbl>
    <w:p>
      <w:pPr>
        <w:pStyle w:val="Heading1"/>
      </w:pPr>
      <w:r>
        <w:t>5. 運用手順</w:t>
      </w:r>
    </w:p>
    <w:p>
      <w:pPr>
        <w:pStyle w:val="ListNumber"/>
      </w:pPr>
      <w:r>
        <w:t>担当者は、対象業務の発生時に本書を確認し、定められた手順に従って処理する。</w:t>
      </w:r>
    </w:p>
    <w:p>
      <w:pPr>
        <w:pStyle w:val="ListNumber"/>
      </w:pPr>
      <w:r>
        <w:t>判断に迷う事項、基準を超える事項、例外処理が必要な事項は、主管部署または承認者へ速やかに報告する。</w:t>
      </w:r>
    </w:p>
    <w:p>
      <w:pPr>
        <w:pStyle w:val="ListNumber"/>
      </w:pPr>
      <w:r>
        <w:t>処理結果、確認内容、承認履歴、是正内容は、所定の様式またはシステムに記録する。</w:t>
      </w:r>
    </w:p>
    <w:p>
      <w:pPr>
        <w:pStyle w:val="ListNumber"/>
      </w:pPr>
      <w:r>
        <w:t>重大な不備・事故・法令違反のおそれがある場合は、経営層へ報告する。</w:t>
      </w:r>
    </w:p>
    <w:p>
      <w:pPr>
        <w:pStyle w:val="Heading1"/>
      </w:pPr>
      <w:r>
        <w:t>6. 記録・保管</w:t>
      </w:r>
    </w:p>
    <w:p>
      <w:r>
        <w:t>本書に基づき作成される記録は、改ざん・紛失・閲覧漏れを防止できる方法で保管する。保管期間は、法令、契約、社内規程に従い、最低でも関連業務の確認に必要な期間を確保する。</w:t>
      </w:r>
    </w:p>
    <w:p>
      <w:pPr>
        <w:pStyle w:val="Heading1"/>
      </w:pPr>
      <w:r>
        <w:t>7. 見直し・改定</w:t>
      </w:r>
    </w:p>
    <w:p>
      <w:r>
        <w:t>主管部署は、法令改正、組織変更、事故・不適合、監査指摘、業務変更が発生した場合、または定期レビュー時に本書の妥当性を確認し、必要に応じて改定する。</w:t>
      </w:r>
    </w:p>
    <w:p>
      <w:pPr>
        <w:pStyle w:val="Heading1"/>
      </w:pPr>
      <w:r>
        <w:t>8. 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20XX/XX/XX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新規制定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DOC-MFG-008 在庫管理規程 /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