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排水・排気・騒音管理手順書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DOC-ENV-003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安全衛生・環境・化学物質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安全環境部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本書は、「排水・排気・騒音管理手順書」に関する基本的な運用ルール、責任分担、記録方法を定め、業務の属人化・漏れ・判断ばらつきを防止することを目的とする。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本書は、当社における安全衛生・環境・化学物質に関係する部門、担当者、委託先、関連業務に適用する。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測定項目、基準値、測定頻度、記録方法を定める</w:t>
      </w:r>
    </w:p>
    <w:p>
      <w:pPr>
        <w:pStyle w:val="ListNumber"/>
      </w:pPr>
      <w:r>
        <w:t>基準超過時の報告・停止・是正手順を定める</w:t>
      </w:r>
    </w:p>
    <w:p>
      <w:pPr>
        <w:pStyle w:val="ListNumber"/>
      </w:pPr>
      <w:r>
        <w:t>外部測定機関との連携を管理する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安全環境部は、本書の維持管理、改定、関係者への周知を行う。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DOC-ENV-003 排水・排気・騒音管理手順書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