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災害時連絡網運用手順書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DOC-BCP-003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本書は、「災害時連絡網運用手順書」に関する基本的な運用ルール、責任分担、記録方法を定め、業務の属人化・漏れ・判断ばらつきを防止することを目的とする。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緊急連絡先、発動基準、連絡順序を定める</w:t>
      </w:r>
    </w:p>
    <w:p>
      <w:pPr>
        <w:pStyle w:val="ListNumber"/>
      </w:pPr>
      <w:r>
        <w:t>連絡訓練と更新確認を定期的に行う</w:t>
      </w:r>
    </w:p>
    <w:p>
      <w:pPr>
        <w:pStyle w:val="ListNumber"/>
      </w:pPr>
      <w:r>
        <w:t>通信不能時の代替手段を定める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総務部は、本書の維持管理、改定、関係者への周知を行う。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DOC-BCP-003 災害時連絡網運用手順書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