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棚卸資産管理規程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DOC-FIN-005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経理・財務・税務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経理部／製造部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本書は、「棚卸資産管理規程」に関する基本的な運用ルール、責任分担、記録方法を定め、業務の属人化・漏れ・判断ばらつきを防止することを目的とする。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本書は、当社における経理・財務・税務に関係する部門、担当者、委託先、関連業務に適用する。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棚卸範囲、実施頻度、責任者を明確にする</w:t>
      </w:r>
    </w:p>
    <w:p>
      <w:pPr>
        <w:pStyle w:val="ListNumber"/>
      </w:pPr>
      <w:r>
        <w:t>差異発生時の調査・承認・会計処理を定める</w:t>
      </w:r>
    </w:p>
    <w:p>
      <w:pPr>
        <w:pStyle w:val="ListNumber"/>
      </w:pPr>
      <w:r>
        <w:t>滞留在庫・評価減の判断基準を定める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経理部／製造部は、本書の維持管理、改定、関係者への周知を行う。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DOC-FIN-005 棚卸資産管理規程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