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職務権限規程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DOC-GOV-002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経営・ガバナンス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経営企画部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役職・部署ごとの権限と責任を明確にする。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第1条 目的</w:t>
      </w:r>
    </w:p>
    <w:p>
      <w:r>
        <w:rPr>
          <w:rFonts w:ascii="Noto Sans CJK JP" w:hAnsi="Noto Sans CJK JP" w:eastAsia="Noto Sans CJK JP"/>
          <w:b w:val="0"/>
          <w:sz w:val="21"/>
        </w:rPr>
        <w:t>本規程は、役職者および各部門の職務権限を明確にし、迅速かつ適切な意思決定を行うことを目的とする。</w:t>
      </w:r>
    </w:p>
    <w:p>
      <w:pPr>
        <w:pStyle w:val="Heading1"/>
      </w:pPr>
      <w:r>
        <w:t>第2条 基本方針</w:t>
      </w:r>
    </w:p>
    <w:p>
      <w:pPr>
        <w:pStyle w:val="ListBullet"/>
      </w:pPr>
      <w:r>
        <w:rPr>
          <w:rFonts w:ascii="Noto Sans CJK JP" w:hAnsi="Noto Sans CJK JP" w:eastAsia="Noto Sans CJK JP"/>
        </w:rPr>
        <w:t>権限と責任は一致させる。</w:t>
      </w:r>
    </w:p>
    <w:p>
      <w:pPr>
        <w:pStyle w:val="ListBullet"/>
      </w:pPr>
      <w:r>
        <w:rPr>
          <w:rFonts w:ascii="Noto Sans CJK JP" w:hAnsi="Noto Sans CJK JP" w:eastAsia="Noto Sans CJK JP"/>
        </w:rPr>
        <w:t>重要事項は職務権限表に基づき承認を得る。</w:t>
      </w:r>
    </w:p>
    <w:p>
      <w:pPr>
        <w:pStyle w:val="ListBullet"/>
      </w:pPr>
      <w:r>
        <w:rPr>
          <w:rFonts w:ascii="Noto Sans CJK JP" w:hAnsi="Noto Sans CJK JP" w:eastAsia="Noto Sans CJK JP"/>
        </w:rPr>
        <w:t>権限を委譲する場合は、期間・範囲・理由を明記する。</w:t>
      </w:r>
    </w:p>
    <w:p>
      <w:pPr>
        <w:pStyle w:val="Heading1"/>
      </w:pPr>
      <w:r>
        <w:t>第3条 権限区分</w:t>
      </w:r>
    </w:p>
    <w:p>
      <w:pPr>
        <w:pStyle w:val="Heading2"/>
      </w:pPr>
      <w:r>
        <w:t>代表者</w:t>
      </w:r>
    </w:p>
    <w:p>
      <w:pPr>
        <w:pStyle w:val="ListBullet"/>
      </w:pPr>
      <w:r>
        <w:rPr>
          <w:rFonts w:ascii="Noto Sans CJK JP" w:hAnsi="Noto Sans CJK JP" w:eastAsia="Noto Sans CJK JP"/>
        </w:rPr>
        <w:t>全社方針、重要投資、重要契約、組織改編の最終承認を行う。</w:t>
      </w:r>
    </w:p>
    <w:p>
      <w:pPr>
        <w:pStyle w:val="Heading2"/>
      </w:pPr>
      <w:r>
        <w:t>部門長</w:t>
      </w:r>
    </w:p>
    <w:p>
      <w:pPr>
        <w:pStyle w:val="ListBullet"/>
      </w:pPr>
      <w:r>
        <w:rPr>
          <w:rFonts w:ascii="Noto Sans CJK JP" w:hAnsi="Noto Sans CJK JP" w:eastAsia="Noto Sans CJK JP"/>
        </w:rPr>
        <w:t>部門内の業務執行、予算管理、人員配置、改善活動を管理する。</w:t>
      </w:r>
    </w:p>
    <w:p>
      <w:pPr>
        <w:pStyle w:val="Heading1"/>
      </w:pPr>
      <w:r>
        <w:t>第4条 例外処理</w:t>
      </w:r>
    </w:p>
    <w:p>
      <w:r>
        <w:rPr>
          <w:rFonts w:ascii="Noto Sans CJK JP" w:hAnsi="Noto Sans CJK JP" w:eastAsia="Noto Sans CJK JP"/>
          <w:b w:val="0"/>
          <w:sz w:val="21"/>
        </w:rPr>
        <w:t>緊急時または災害時の例外承認は、事後速やかに記録し、承認者へ報告する。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DOC-GOV-002　職務権限規程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