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個人情報取扱規程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DOC-IT-007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総務部／情報システム担当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本書は、「個人情報取扱規程」に関する基本的な運用ルール、責任分担、記録方法を定め、業務の属人化・漏れ・判断ばらつきを防止することを目的とする。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個人情報の取得・利用・保管・廃棄のルールを定める</w:t>
      </w:r>
    </w:p>
    <w:p>
      <w:pPr>
        <w:pStyle w:val="ListNumber"/>
      </w:pPr>
      <w:r>
        <w:t>委託・第三者提供・漏えい時対応を定める</w:t>
      </w:r>
    </w:p>
    <w:p>
      <w:pPr>
        <w:pStyle w:val="ListNumber"/>
      </w:pPr>
      <w:r>
        <w:t>アクセス権限と教育の実施を定める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総務部／情報システム担当は、本書の維持管理、改定、関係者への周知を行う。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DOC-IT-007 個人情報取扱規程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