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外注加工管理規程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DOC-MFG-007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購買部／製造部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本書は、「外注加工管理規程」に関する基本的な運用ルール、責任分担、記録方法を定め、業務の属人化・漏れ・判断ばらつきを防止することを目的とする。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外注先選定、評価、契約、指示方法を定める</w:t>
      </w:r>
    </w:p>
    <w:p>
      <w:pPr>
        <w:pStyle w:val="ListNumber"/>
      </w:pPr>
      <w:r>
        <w:t>外注品質・納期・不適合対応を管理する</w:t>
      </w:r>
    </w:p>
    <w:p>
      <w:pPr>
        <w:pStyle w:val="ListNumber"/>
      </w:pPr>
      <w:r>
        <w:t>外注先監査・再評価の頻度を定める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購買部／製造部は、本書の維持管理、改定、関係者への周知を行う。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DOC-MFG-007 外注加工管理規程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