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化学物質管理規程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DOC-SAF-002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安全衛生・環境・化学物質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安全環境部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化学物質の購入、保管、使用、SDS、リスクアセスメントを定める。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本規程は、化学物質の安全な取扱い、保管、廃棄、SDS管理、リスクアセスメントを定め、事故・健康被害・環境影響を防止する。</w:t>
      </w:r>
    </w:p>
    <w:p>
      <w:pPr>
        <w:pStyle w:val="Heading1"/>
      </w:pPr>
      <w:r>
        <w:t>第2条 対象物質</w:t>
      </w:r>
    </w:p>
    <w:p>
      <w:r>
        <w:rPr>
          <w:rFonts w:ascii="Noto Sans CJK JP" w:hAnsi="Noto Sans CJK JP" w:eastAsia="Noto Sans CJK JP"/>
          <w:b w:val="0"/>
          <w:sz w:val="21"/>
        </w:rPr>
        <w:t>原材料、溶剤、洗浄剤、試薬、塗料、接着剤、その他化学物質を対象とする。</w:t>
      </w:r>
    </w:p>
    <w:p>
      <w:pPr>
        <w:pStyle w:val="Heading1"/>
      </w:pPr>
      <w:r>
        <w:t>第3条 管理手順</w:t>
      </w:r>
    </w:p>
    <w:p>
      <w:pPr>
        <w:pStyle w:val="ListBullet"/>
      </w:pPr>
      <w:r>
        <w:rPr>
          <w:rFonts w:ascii="Noto Sans CJK JP" w:hAnsi="Noto Sans CJK JP" w:eastAsia="Noto Sans CJK JP"/>
        </w:rPr>
        <w:t>購入前にSDSを入手する。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使用場所、保管場所、使用量を管理する。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必要な保護具と換気条件を定める。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リスクアセスメントを実施し、結果を記録する。</w:t>
      </w:r>
    </w:p>
    <w:p>
      <w:pPr>
        <w:pStyle w:val="Heading1"/>
      </w:pPr>
      <w:r>
        <w:t>第4条 緊急時対応</w:t>
      </w:r>
    </w:p>
    <w:p>
      <w:r>
        <w:rPr>
          <w:rFonts w:ascii="Noto Sans CJK JP" w:hAnsi="Noto Sans CJK JP" w:eastAsia="Noto Sans CJK JP"/>
          <w:b w:val="0"/>
          <w:sz w:val="21"/>
        </w:rPr>
        <w:t>漏洩、火災、ばく露時の連絡先、初期対応、避難、報告手順を定める。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DOC-SAF-002　化学物質管理規程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