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組織図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DOC-GOV-011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組織図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半期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部署・役職・責任者の全体構造を明確化する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p>
      <w:r>
        <w:rPr>
          <w:rFonts w:ascii="Yu Gothic" w:hAnsi="Yu Gothic" w:eastAsia="Yu Gothic"/>
          <w:b w:val="0"/>
          <w:sz w:val="21"/>
        </w:rPr>
        <w:t>以下に部門・役職・責任範囲を記入し、必要に応じて図表化する。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部門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主な機能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上位部門</w:t>
            </w:r>
          </w:p>
        </w:tc>
        <w:tc>
          <w:tcPr>
            <w:tcW w:type="dxa" w:w="2062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  <w:tr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  <w:tc>
          <w:tcPr>
            <w:tcW w:type="dxa" w:w="2062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