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RabbitMQ 面试题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🐇 RabbitMQ 高频面试题（2025 初级岗优化版）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为什么使用 RabbitMQ？解决了什么问题？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RabbitMQ 是一款开源高性能消息中间件，核心价值在于：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系统解耦</w:t>
      </w:r>
      <w:r>
        <w:rPr>
          <w:rFonts w:eastAsia="等线" w:ascii="Arial" w:cs="Arial" w:hAnsi="Arial"/>
          <w:sz w:val="22"/>
        </w:rPr>
        <w:t>：服务间通过消息通信，消除强依赖，降低耦合度；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异步处理</w:t>
      </w:r>
      <w:r>
        <w:rPr>
          <w:rFonts w:eastAsia="等线" w:ascii="Arial" w:cs="Arial" w:hAnsi="Arial"/>
          <w:sz w:val="22"/>
        </w:rPr>
        <w:t>：将发短信、日志记录等耗时操作异步化，提升主流程响应速度；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流量削峰</w:t>
      </w:r>
      <w:r>
        <w:rPr>
          <w:rFonts w:eastAsia="等线" w:ascii="Arial" w:cs="Arial" w:hAnsi="Arial"/>
          <w:sz w:val="22"/>
        </w:rPr>
        <w:t>：突发请求先入队列缓冲，后端按自身能力匀速消费，避免系统被压垮。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RabbitMQ 有哪些工作模式？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 5 种核心模式，覆盖多数业务场景：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简单模式</w:t>
      </w:r>
      <w:r>
        <w:rPr>
          <w:rFonts w:eastAsia="等线" w:ascii="Arial" w:cs="Arial" w:hAnsi="Arial"/>
          <w:sz w:val="22"/>
        </w:rPr>
        <w:t>：1 生产者 → 1 队列 → 1 消费者（点对点基础场景）；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工作队列</w:t>
      </w:r>
      <w:r>
        <w:rPr>
          <w:rFonts w:eastAsia="等线" w:ascii="Arial" w:cs="Arial" w:hAnsi="Arial"/>
          <w:sz w:val="22"/>
        </w:rPr>
        <w:t>：多个消费者竞争消费同一队列，支持公平分发（负载均衡）；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Fanout（广播模式）</w:t>
      </w:r>
      <w:r>
        <w:rPr>
          <w:rFonts w:eastAsia="等线" w:ascii="Arial" w:cs="Arial" w:hAnsi="Arial"/>
          <w:sz w:val="22"/>
        </w:rPr>
        <w:t>：消息路由到所有绑定的队列，无差别群发；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Direct（精确路由）</w:t>
      </w:r>
      <w:r>
        <w:rPr>
          <w:rFonts w:eastAsia="等线" w:ascii="Arial" w:cs="Arial" w:hAnsi="Arial"/>
          <w:sz w:val="22"/>
        </w:rPr>
        <w:t>：按 routing key 完全匹配，路由到指定队列；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Topic（通配符路由）</w:t>
      </w:r>
      <w:r>
        <w:rPr>
          <w:rFonts w:eastAsia="等线" w:ascii="Arial" w:cs="Arial" w:hAnsi="Arial"/>
          <w:sz w:val="22"/>
        </w:rPr>
        <w:t xml:space="preserve">：支持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>（匹配单个词）、</w:t>
      </w:r>
      <w:r>
        <w:rPr>
          <w:rFonts w:eastAsia="Consolas" w:ascii="Consolas" w:cs="Consolas" w:hAnsi="Consolas"/>
          <w:sz w:val="22"/>
          <w:shd w:fill="EFF0F1"/>
        </w:rPr>
        <w:t>#</w:t>
      </w:r>
      <w:r>
        <w:rPr>
          <w:rFonts w:eastAsia="等线" w:ascii="Arial" w:cs="Arial" w:hAnsi="Arial"/>
          <w:sz w:val="22"/>
        </w:rPr>
        <w:t>（匹配多个词），路由更灵活。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如何保证消息不丢失？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需生产者、Broker、消费者三端协同保障：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生产者</w:t>
      </w:r>
      <w:r>
        <w:rPr>
          <w:rFonts w:eastAsia="等线" w:ascii="Arial" w:cs="Arial" w:hAnsi="Arial"/>
          <w:sz w:val="22"/>
        </w:rPr>
        <w:t>：开启 Publisher Confirm 机制，确保消息成功到达 Broker；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Broker</w:t>
      </w:r>
      <w:r>
        <w:rPr>
          <w:rFonts w:eastAsia="等线" w:ascii="Arial" w:cs="Arial" w:hAnsi="Arial"/>
          <w:sz w:val="22"/>
        </w:rPr>
        <w:t>：队列和消息均设置为 durable（持久化），防止 Broker 宕机丢失；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消费者</w:t>
      </w:r>
      <w:r>
        <w:rPr>
          <w:rFonts w:eastAsia="等线" w:ascii="Arial" w:cs="Arial" w:hAnsi="Arial"/>
          <w:sz w:val="22"/>
        </w:rPr>
        <w:t xml:space="preserve">：关闭自动 ACK，业务处理成功后手动调用 </w:t>
      </w:r>
      <w:r>
        <w:rPr>
          <w:rFonts w:eastAsia="Consolas" w:ascii="Consolas" w:cs="Consolas" w:hAnsi="Consolas"/>
          <w:sz w:val="22"/>
          <w:shd w:fill="EFF0F1"/>
        </w:rPr>
        <w:t>basicAck()</w:t>
      </w:r>
      <w:r>
        <w:rPr>
          <w:rFonts w:eastAsia="等线" w:ascii="Arial" w:cs="Arial" w:hAnsi="Arial"/>
          <w:sz w:val="22"/>
        </w:rPr>
        <w:t>；失败时可拒绝消息并转入死信队列。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什么是死信队列（DLQ）？如何实现？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死信队列是专门接收“无法正常消费”消息的队列，消息变为死信的原因：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消费者拒绝消息且不重回队列（</w:t>
      </w:r>
      <w:r>
        <w:rPr>
          <w:rFonts w:eastAsia="Consolas" w:ascii="Consolas" w:cs="Consolas" w:hAnsi="Consolas"/>
          <w:sz w:val="22"/>
          <w:shd w:fill="EFF0F1"/>
        </w:rPr>
        <w:t>requeue=false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 TTL（过期时间）到期未被消费；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队列达到最大长度，无法接收新消息。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 xml:space="preserve">：声明普通队列时，通过 </w:t>
      </w:r>
      <w:r>
        <w:rPr>
          <w:rFonts w:eastAsia="Consolas" w:ascii="Consolas" w:cs="Consolas" w:hAnsi="Consolas"/>
          <w:sz w:val="22"/>
          <w:shd w:fill="EFF0F1"/>
        </w:rPr>
        <w:t>x-dead-letter-exchange</w:t>
      </w:r>
      <w:r>
        <w:rPr>
          <w:rFonts w:eastAsia="等线" w:ascii="Arial" w:cs="Arial" w:hAnsi="Arial"/>
          <w:sz w:val="22"/>
        </w:rPr>
        <w:t xml:space="preserve">（死信交换机）和 </w:t>
      </w:r>
      <w:r>
        <w:rPr>
          <w:rFonts w:eastAsia="Consolas" w:ascii="Consolas" w:cs="Consolas" w:hAnsi="Consolas"/>
          <w:sz w:val="22"/>
          <w:shd w:fill="EFF0F1"/>
        </w:rPr>
        <w:t>x-dead-letter-routing-key</w:t>
      </w:r>
      <w:r>
        <w:rPr>
          <w:rFonts w:eastAsia="等线" w:ascii="Arial" w:cs="Arial" w:hAnsi="Arial"/>
          <w:sz w:val="22"/>
        </w:rPr>
        <w:t>（死信路由键）配置，死信会自动转发到绑定的 DLQ，便于后续排查或重试。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如何实现延迟队列？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RabbitMQ 无原生延迟队列，主流两种实现方案：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方案 1：TTL + 死信队列（基础版）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创建带 TTL（如 5 秒）的普通队列，并配置死信转发目标；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生产者将消息发送到该队列，消息暂存不消费；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消息过期后自动转入死信队列，消费者监听 DLQ 实现延迟消费。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注意：存在“队头阻塞”问题，低精度场景适用。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方案 2：官方插件（高精度版）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Consolas" w:ascii="Consolas" w:cs="Consolas" w:hAnsi="Consolas"/>
          <w:sz w:val="22"/>
          <w:shd w:fill="EFF0F1"/>
        </w:rPr>
        <w:t>rabbitmq-delayed-message-exchange</w:t>
      </w:r>
      <w:r>
        <w:rPr>
          <w:rFonts w:eastAsia="等线" w:ascii="Arial" w:cs="Arial" w:hAnsi="Arial"/>
          <w:sz w:val="22"/>
        </w:rPr>
        <w:t xml:space="preserve"> 插件，直接声明延迟交换机，无需依赖 TTL，避免阻塞问题。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 如何避免重复消费？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 无法完全杜绝重复投递，需在</w:t>
      </w:r>
      <w:r>
        <w:rPr>
          <w:rFonts w:eastAsia="等线" w:ascii="Arial" w:cs="Arial" w:hAnsi="Arial"/>
          <w:b w:val="true"/>
          <w:sz w:val="22"/>
        </w:rPr>
        <w:t>业务层实现幂等性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数据库唯一索引：用订单号、消息 ID 作为唯一键，重复插入直接失败；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Redis 记录：用 </w:t>
      </w:r>
      <w:r>
        <w:rPr>
          <w:rFonts w:eastAsia="Consolas" w:ascii="Consolas" w:cs="Consolas" w:hAnsi="Consolas"/>
          <w:sz w:val="22"/>
          <w:shd w:fill="EFF0F1"/>
        </w:rPr>
        <w:t>SETNX + 过期时间</w:t>
      </w:r>
      <w:r>
        <w:rPr>
          <w:rFonts w:eastAsia="等线" w:ascii="Arial" w:cs="Arial" w:hAnsi="Arial"/>
          <w:sz w:val="22"/>
        </w:rPr>
        <w:t xml:space="preserve"> 记录已处理的消息 ID，消费前先校验；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状态机校验：如订单“待支付”状态才能转为“已支付”，重复消息不改变状态。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 消息堆积了怎么办？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短期应对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临时扩容：增加消费者实例（需保证业务幂等），提升消费速度；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紧急处理：暂停非核心业务消费，优先处理堆积消息。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长期优化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提升消费性能：优化代码（如批量处理、异步写 DB）、增加消费线程池；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预防雪崩：设置队列最大长度，超出部分直接转入死信队列；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监控告警：接入 Prometheus + Grafana，对 Consumer Lag（消费延迟）设置阈值告警，提前扩容。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 Exchange 有哪几种类型？区别是什么？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 routing 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点对点通知（如订单回调）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广播到所有绑定队列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系统公告、群通知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*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</w:t>
            </w:r>
            <w:r>
              <w:rPr>
                <w:rFonts w:eastAsia="等线" w:ascii="Arial" w:cs="Arial" w:hAnsi="Arial"/>
                <w:sz w:val="22"/>
              </w:rPr>
              <w:t xml:space="preserve"> 通配符路由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多维度订阅（如日志分类）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基于消息头属性匹配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实际极少使用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9. 消息确认机制（Confirm 和 ACK）如何工作？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生产者 Confirm 机制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Broker 成功接收消息后，异步回调 </w:t>
      </w:r>
      <w:r>
        <w:rPr>
          <w:rFonts w:eastAsia="Consolas" w:ascii="Consolas" w:cs="Consolas" w:hAnsi="Consolas"/>
          <w:sz w:val="22"/>
          <w:shd w:fill="EFF0F1"/>
        </w:rPr>
        <w:t>confirmCallback</w:t>
      </w:r>
      <w:r>
        <w:rPr>
          <w:rFonts w:eastAsia="等线" w:ascii="Arial" w:cs="Arial" w:hAnsi="Arial"/>
          <w:sz w:val="22"/>
        </w:rPr>
        <w:t xml:space="preserve">（成功）或 </w:t>
      </w:r>
      <w:r>
        <w:rPr>
          <w:rFonts w:eastAsia="Consolas" w:ascii="Consolas" w:cs="Consolas" w:hAnsi="Consolas"/>
          <w:sz w:val="22"/>
          <w:shd w:fill="EFF0F1"/>
        </w:rPr>
        <w:t>nackCallback</w:t>
      </w:r>
      <w:r>
        <w:rPr>
          <w:rFonts w:eastAsia="等线" w:ascii="Arial" w:cs="Arial" w:hAnsi="Arial"/>
          <w:sz w:val="22"/>
        </w:rPr>
        <w:t>（失败）；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配合 </w:t>
      </w:r>
      <w:r>
        <w:rPr>
          <w:rFonts w:eastAsia="Consolas" w:ascii="Consolas" w:cs="Consolas" w:hAnsi="Consolas"/>
          <w:sz w:val="22"/>
          <w:shd w:fill="EFF0F1"/>
        </w:rPr>
        <w:t>CorrelationData</w:t>
      </w:r>
      <w:r>
        <w:rPr>
          <w:rFonts w:eastAsia="等线" w:ascii="Arial" w:cs="Arial" w:hAnsi="Arial"/>
          <w:sz w:val="22"/>
        </w:rPr>
        <w:t xml:space="preserve"> 可追踪每一条消息的 ID，确保投递可靠性。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消费者 ACK 机制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 </w:t>
      </w:r>
      <w:r>
        <w:rPr>
          <w:rFonts w:eastAsia="Consolas" w:ascii="Consolas" w:cs="Consolas" w:hAnsi="Consolas"/>
          <w:sz w:val="22"/>
          <w:shd w:fill="EFF0F1"/>
        </w:rPr>
        <w:t>autoAck=false</w:t>
      </w:r>
      <w:r>
        <w:rPr>
          <w:rFonts w:eastAsia="等线" w:ascii="Arial" w:cs="Arial" w:hAnsi="Arial"/>
          <w:sz w:val="22"/>
        </w:rPr>
        <w:t>（关闭自动确认）；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业务处理成功：调用 </w:t>
      </w:r>
      <w:r>
        <w:rPr>
          <w:rFonts w:eastAsia="Consolas" w:ascii="Consolas" w:cs="Consolas" w:hAnsi="Consolas"/>
          <w:sz w:val="22"/>
          <w:shd w:fill="EFF0F1"/>
        </w:rPr>
        <w:t>channel.basicAck()</w:t>
      </w:r>
      <w:r>
        <w:rPr>
          <w:rFonts w:eastAsia="等线" w:ascii="Arial" w:cs="Arial" w:hAnsi="Arial"/>
          <w:sz w:val="22"/>
        </w:rPr>
        <w:t xml:space="preserve"> 手动确认，消息被删除；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业务处理失败：调用 </w:t>
      </w:r>
      <w:r>
        <w:rPr>
          <w:rFonts w:eastAsia="Consolas" w:ascii="Consolas" w:cs="Consolas" w:hAnsi="Consolas"/>
          <w:sz w:val="22"/>
          <w:shd w:fill="EFF0F1"/>
        </w:rPr>
        <w:t>basicNack(requeue=true)</w:t>
      </w:r>
      <w:r>
        <w:rPr>
          <w:rFonts w:eastAsia="等线" w:ascii="Arial" w:cs="Arial" w:hAnsi="Arial"/>
          <w:sz w:val="22"/>
        </w:rPr>
        <w:t xml:space="preserve"> 重回队列，或 </w:t>
      </w:r>
      <w:r>
        <w:rPr>
          <w:rFonts w:eastAsia="Consolas" w:ascii="Consolas" w:cs="Consolas" w:hAnsi="Consolas"/>
          <w:sz w:val="22"/>
          <w:shd w:fill="EFF0F1"/>
        </w:rPr>
        <w:t>requeue=false</w:t>
      </w:r>
      <w:r>
        <w:rPr>
          <w:rFonts w:eastAsia="等线" w:ascii="Arial" w:cs="Arial" w:hAnsi="Arial"/>
          <w:sz w:val="22"/>
        </w:rPr>
        <w:t xml:space="preserve"> 转入死信队列。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Spring Boot 配置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10. RabbitMQ 和 Kafka 有什么区别？什么时候选 RabbitMQ？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RabbitMQ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Kafka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万级 TPS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百万级 TPS（高吞吐）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毫秒级（低延迟）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毫秒~秒级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业务解耦、异步任务、可靠投递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日志收集、埋点统计、流处理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强（ACK + 持久化）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强（侧重吞吐，可靠性略弱）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选 RabbitMQ 的典型场景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订单创建、支付通知、短信发送等对消息可靠性要求高的业务；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开发周期短、运维资源有限，需要快速落地的场景；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不需要超高吞吐量，更注重消息路由灵活性和投递成功率的场景。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提示：初级岗面试重点掌握前 8 题，理解核心概念和实操配置；后 2 题侧重场景选型，结合业务理解即可。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46">
    <w:lvl>
      <w:numFmt w:val="bullet"/>
      <w:suff w:val="tab"/>
      <w:lvlText w:val="•"/>
      <w:rPr>
        <w:color w:val="3370ff"/>
      </w:rPr>
    </w:lvl>
  </w:abstractNum>
  <w:abstractNum w:abstractNumId="6147">
    <w:lvl>
      <w:numFmt w:val="bullet"/>
      <w:suff w:val="tab"/>
      <w:lvlText w:val="•"/>
      <w:rPr>
        <w:color w:val="3370ff"/>
      </w:rPr>
    </w:lvl>
  </w:abstractNum>
  <w:abstractNum w:abstractNumId="6148">
    <w:lvl>
      <w:numFmt w:val="bullet"/>
      <w:suff w:val="tab"/>
      <w:lvlText w:val="•"/>
      <w:rPr>
        <w:color w:val="3370ff"/>
      </w:rPr>
    </w:lvl>
  </w:abstractNum>
  <w:abstractNum w:abstractNumId="6149">
    <w:lvl>
      <w:numFmt w:val="bullet"/>
      <w:suff w:val="tab"/>
      <w:lvlText w:val="•"/>
      <w:rPr>
        <w:color w:val="3370ff"/>
      </w:rPr>
    </w:lvl>
  </w:abstractNum>
  <w:abstractNum w:abstractNumId="6150">
    <w:lvl>
      <w:numFmt w:val="bullet"/>
      <w:suff w:val="tab"/>
      <w:lvlText w:val="•"/>
      <w:rPr>
        <w:color w:val="3370ff"/>
      </w:rPr>
    </w:lvl>
  </w:abstractNum>
  <w:abstractNum w:abstractNumId="6151">
    <w:lvl>
      <w:numFmt w:val="bullet"/>
      <w:suff w:val="tab"/>
      <w:lvlText w:val="•"/>
      <w:rPr>
        <w:color w:val="3370ff"/>
      </w:rPr>
    </w:lvl>
  </w:abstractNum>
  <w:abstractNum w:abstractNumId="6152">
    <w:lvl>
      <w:numFmt w:val="bullet"/>
      <w:suff w:val="tab"/>
      <w:lvlText w:val="•"/>
      <w:rPr>
        <w:color w:val="3370ff"/>
      </w:rPr>
    </w:lvl>
  </w:abstractNum>
  <w:abstractNum w:abstractNumId="6153">
    <w:lvl>
      <w:numFmt w:val="bullet"/>
      <w:suff w:val="tab"/>
      <w:lvlText w:val="•"/>
      <w:rPr>
        <w:color w:val="3370ff"/>
      </w:rPr>
    </w:lvl>
  </w:abstractNum>
  <w:abstractNum w:abstractNumId="6154">
    <w:lvl>
      <w:numFmt w:val="bullet"/>
      <w:suff w:val="tab"/>
      <w:lvlText w:val="•"/>
      <w:rPr>
        <w:color w:val="3370ff"/>
      </w:rPr>
    </w:lvl>
  </w:abstractNum>
  <w:abstractNum w:abstractNumId="6155">
    <w:lvl>
      <w:numFmt w:val="bullet"/>
      <w:suff w:val="tab"/>
      <w:lvlText w:val="•"/>
      <w:rPr>
        <w:color w:val="3370ff"/>
      </w:rPr>
    </w:lvl>
  </w:abstractNum>
  <w:abstractNum w:abstractNumId="6156">
    <w:lvl>
      <w:numFmt w:val="bullet"/>
      <w:suff w:val="tab"/>
      <w:lvlText w:val="•"/>
      <w:rPr>
        <w:color w:val="3370ff"/>
      </w:rPr>
    </w:lvl>
  </w:abstractNum>
  <w:abstractNum w:abstractNumId="6157">
    <w:lvl>
      <w:numFmt w:val="bullet"/>
      <w:suff w:val="tab"/>
      <w:lvlText w:val="•"/>
      <w:rPr>
        <w:color w:val="3370ff"/>
      </w:rPr>
    </w:lvl>
  </w:abstractNum>
  <w:abstractNum w:abstractNumId="6158">
    <w:lvl>
      <w:numFmt w:val="bullet"/>
      <w:suff w:val="tab"/>
      <w:lvlText w:val="•"/>
      <w:rPr>
        <w:color w:val="3370ff"/>
      </w:rPr>
    </w:lvl>
  </w:abstractNum>
  <w:abstractNum w:abstractNumId="6159">
    <w:lvl>
      <w:numFmt w:val="bullet"/>
      <w:suff w:val="tab"/>
      <w:lvlText w:val="•"/>
      <w:rPr>
        <w:color w:val="3370ff"/>
      </w:rPr>
    </w:lvl>
  </w:abstractNum>
  <w:abstractNum w:abstractNumId="6160">
    <w:lvl>
      <w:start w:val="1"/>
      <w:numFmt w:val="decimal"/>
      <w:suff w:val="tab"/>
      <w:lvlText w:val="%1."/>
      <w:rPr>
        <w:color w:val="3370ff"/>
      </w:rPr>
    </w:lvl>
  </w:abstractNum>
  <w:abstractNum w:abstractNumId="6161">
    <w:lvl>
      <w:start w:val="2"/>
      <w:numFmt w:val="decimal"/>
      <w:suff w:val="tab"/>
      <w:lvlText w:val="%1."/>
      <w:rPr>
        <w:color w:val="3370ff"/>
      </w:rPr>
    </w:lvl>
  </w:abstractNum>
  <w:abstractNum w:abstractNumId="6162">
    <w:lvl>
      <w:start w:val="3"/>
      <w:numFmt w:val="decimal"/>
      <w:suff w:val="tab"/>
      <w:lvlText w:val="%1."/>
      <w:rPr>
        <w:color w:val="3370ff"/>
      </w:rPr>
    </w:lvl>
  </w:abstractNum>
  <w:abstractNum w:abstractNumId="6163">
    <w:lvl>
      <w:numFmt w:val="bullet"/>
      <w:suff w:val="tab"/>
      <w:lvlText w:val="•"/>
      <w:rPr>
        <w:color w:val="3370ff"/>
      </w:rPr>
    </w:lvl>
  </w:abstractNum>
  <w:abstractNum w:abstractNumId="6164">
    <w:lvl>
      <w:numFmt w:val="bullet"/>
      <w:suff w:val="tab"/>
      <w:lvlText w:val="•"/>
      <w:rPr>
        <w:color w:val="3370ff"/>
      </w:rPr>
    </w:lvl>
  </w:abstractNum>
  <w:abstractNum w:abstractNumId="6165">
    <w:lvl>
      <w:numFmt w:val="bullet"/>
      <w:suff w:val="tab"/>
      <w:lvlText w:val="•"/>
      <w:rPr>
        <w:color w:val="3370ff"/>
      </w:rPr>
    </w:lvl>
  </w:abstractNum>
  <w:abstractNum w:abstractNumId="6166">
    <w:lvl>
      <w:numFmt w:val="bullet"/>
      <w:suff w:val="tab"/>
      <w:lvlText w:val="•"/>
      <w:rPr>
        <w:color w:val="3370ff"/>
      </w:rPr>
    </w:lvl>
  </w:abstractNum>
  <w:abstractNum w:abstractNumId="6167">
    <w:lvl>
      <w:numFmt w:val="bullet"/>
      <w:suff w:val="tab"/>
      <w:lvlText w:val="•"/>
      <w:rPr>
        <w:color w:val="3370ff"/>
      </w:rPr>
    </w:lvl>
  </w:abstractNum>
  <w:abstractNum w:abstractNumId="6168">
    <w:lvl>
      <w:numFmt w:val="bullet"/>
      <w:suff w:val="tab"/>
      <w:lvlText w:val="•"/>
      <w:rPr>
        <w:color w:val="3370ff"/>
      </w:rPr>
    </w:lvl>
  </w:abstractNum>
  <w:abstractNum w:abstractNumId="6169">
    <w:lvl>
      <w:numFmt w:val="bullet"/>
      <w:suff w:val="tab"/>
      <w:lvlText w:val="•"/>
      <w:rPr>
        <w:color w:val="3370ff"/>
      </w:rPr>
    </w:lvl>
  </w:abstractNum>
  <w:abstractNum w:abstractNumId="6170">
    <w:lvl>
      <w:numFmt w:val="bullet"/>
      <w:suff w:val="tab"/>
      <w:lvlText w:val="•"/>
      <w:rPr>
        <w:color w:val="3370ff"/>
      </w:rPr>
    </w:lvl>
  </w:abstractNum>
  <w:abstractNum w:abstractNumId="6171">
    <w:lvl>
      <w:numFmt w:val="bullet"/>
      <w:suff w:val="tab"/>
      <w:lvlText w:val="•"/>
      <w:rPr>
        <w:color w:val="3370ff"/>
      </w:rPr>
    </w:lvl>
  </w:abstractNum>
  <w:abstractNum w:abstractNumId="6172">
    <w:lvl>
      <w:numFmt w:val="bullet"/>
      <w:suff w:val="tab"/>
      <w:lvlText w:val="•"/>
      <w:rPr>
        <w:color w:val="3370ff"/>
      </w:rPr>
    </w:lvl>
  </w:abstractNum>
  <w:abstractNum w:abstractNumId="6173">
    <w:lvl>
      <w:numFmt w:val="bullet"/>
      <w:suff w:val="tab"/>
      <w:lvlText w:val="•"/>
      <w:rPr>
        <w:color w:val="3370ff"/>
      </w:rPr>
    </w:lvl>
  </w:abstractNum>
  <w:abstractNum w:abstractNumId="6174">
    <w:lvl>
      <w:numFmt w:val="bullet"/>
      <w:suff w:val="tab"/>
      <w:lvlText w:val="•"/>
      <w:rPr>
        <w:color w:val="3370ff"/>
      </w:rPr>
    </w:lvl>
  </w:abstractNum>
  <w:abstractNum w:abstractNumId="6175">
    <w:lvl>
      <w:numFmt w:val="bullet"/>
      <w:suff w:val="tab"/>
      <w:lvlText w:val="•"/>
      <w:rPr>
        <w:color w:val="3370ff"/>
      </w:rPr>
    </w:lvl>
  </w:abstractNum>
  <w:abstractNum w:abstractNumId="6176">
    <w:lvl>
      <w:numFmt w:val="bullet"/>
      <w:suff w:val="tab"/>
      <w:lvlText w:val="•"/>
      <w:rPr>
        <w:color w:val="3370ff"/>
      </w:rPr>
    </w:lvl>
  </w:abstractNum>
  <w:abstractNum w:abstractNumId="6177">
    <w:lvl>
      <w:numFmt w:val="bullet"/>
      <w:suff w:val="tab"/>
      <w:lvlText w:val="•"/>
      <w:rPr>
        <w:color w:val="3370ff"/>
      </w:rPr>
    </w:lvl>
  </w:abstractNum>
  <w:abstractNum w:abstractNumId="6178">
    <w:lvl>
      <w:numFmt w:val="bullet"/>
      <w:suff w:val="tab"/>
      <w:lvlText w:val="•"/>
      <w:rPr>
        <w:color w:val="3370ff"/>
      </w:rPr>
    </w:lvl>
  </w:abstractNum>
  <w:num w:numId="1">
    <w:abstractNumId w:val="6146"/>
  </w:num>
  <w:num w:numId="2">
    <w:abstractNumId w:val="6147"/>
  </w:num>
  <w:num w:numId="3">
    <w:abstractNumId w:val="6148"/>
  </w:num>
  <w:num w:numId="4">
    <w:abstractNumId w:val="6149"/>
  </w:num>
  <w:num w:numId="5">
    <w:abstractNumId w:val="6150"/>
  </w:num>
  <w:num w:numId="6">
    <w:abstractNumId w:val="6151"/>
  </w:num>
  <w:num w:numId="7">
    <w:abstractNumId w:val="6152"/>
  </w:num>
  <w:num w:numId="8">
    <w:abstractNumId w:val="6153"/>
  </w:num>
  <w:num w:numId="9">
    <w:abstractNumId w:val="6154"/>
  </w:num>
  <w:num w:numId="10">
    <w:abstractNumId w:val="6155"/>
  </w:num>
  <w:num w:numId="11">
    <w:abstractNumId w:val="6156"/>
  </w:num>
  <w:num w:numId="12">
    <w:abstractNumId w:val="6157"/>
  </w:num>
  <w:num w:numId="13">
    <w:abstractNumId w:val="6158"/>
  </w:num>
  <w:num w:numId="14">
    <w:abstractNumId w:val="6159"/>
  </w:num>
  <w:num w:numId="15">
    <w:abstractNumId w:val="6160"/>
  </w:num>
  <w:num w:numId="16">
    <w:abstractNumId w:val="6161"/>
  </w:num>
  <w:num w:numId="17">
    <w:abstractNumId w:val="6162"/>
  </w:num>
  <w:num w:numId="18">
    <w:abstractNumId w:val="6163"/>
  </w:num>
  <w:num w:numId="19">
    <w:abstractNumId w:val="6164"/>
  </w:num>
  <w:num w:numId="20">
    <w:abstractNumId w:val="6165"/>
  </w:num>
  <w:num w:numId="21">
    <w:abstractNumId w:val="6166"/>
  </w:num>
  <w:num w:numId="22">
    <w:abstractNumId w:val="6167"/>
  </w:num>
  <w:num w:numId="23">
    <w:abstractNumId w:val="6168"/>
  </w:num>
  <w:num w:numId="24">
    <w:abstractNumId w:val="6169"/>
  </w:num>
  <w:num w:numId="25">
    <w:abstractNumId w:val="6170"/>
  </w:num>
  <w:num w:numId="26">
    <w:abstractNumId w:val="6171"/>
  </w:num>
  <w:num w:numId="27">
    <w:abstractNumId w:val="6172"/>
  </w:num>
  <w:num w:numId="28">
    <w:abstractNumId w:val="6173"/>
  </w:num>
  <w:num w:numId="29">
    <w:abstractNumId w:val="6174"/>
  </w:num>
  <w:num w:numId="30">
    <w:abstractNumId w:val="6175"/>
  </w:num>
  <w:num w:numId="31">
    <w:abstractNumId w:val="6176"/>
  </w:num>
  <w:num w:numId="32">
    <w:abstractNumId w:val="6177"/>
  </w:num>
  <w:num w:numId="33">
    <w:abstractNumId w:val="61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2025-11-18T03:15:34Z</dcterms:created>
  <dc:creator>Apache POI</dc:creator>
</cp:coreProperties>
</file>