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28.png" ContentType="image/png"/>
  <Override PartName="/word/media/rId27.png" ContentType="image/png"/>
  <Override PartName="/word/media/rId30.png" ContentType="image/png"/>
  <Override PartName="/word/media/rId23.png" ContentType="image/png"/>
  <Override PartName="/word/media/image5.png" ContentType="image/png"/>
  <Override PartName="/word/media/image4.png" ContentType="image/png"/>
  <Override PartName="/word/media/image3.png" ContentType="image/png"/>
  <Override PartName="/word/media/image1.png" ContentType="image/png"/>
  <Override PartName="/word/media/image6.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ETH</w:t>
      </w:r>
      <w:r>
        <w:t xml:space="preserve"> </w:t>
      </w:r>
      <w:r>
        <w:t xml:space="preserve">Policy</w:t>
      </w:r>
      <w:r>
        <w:t xml:space="preserve"> </w:t>
      </w:r>
      <w:r>
        <w:t xml:space="preserve">Paper</w:t>
      </w:r>
      <w:r>
        <w:t xml:space="preserve"> </w:t>
      </w:r>
      <w:r>
        <w:t xml:space="preserve">Input</w:t>
      </w:r>
    </w:p>
    <w:p>
      <w:pPr>
        <w:pStyle w:val="Author"/>
      </w:pPr>
      <w:r>
        <w:t xml:space="preserve">Michiel</w:t>
      </w:r>
      <w:r>
        <w:t xml:space="preserve"> </w:t>
      </w:r>
      <w:r>
        <w:t xml:space="preserve">van</w:t>
      </w:r>
      <w:r>
        <w:t xml:space="preserve"> </w:t>
      </w:r>
      <w:r>
        <w:t xml:space="preserve">Dijk</w:t>
      </w:r>
    </w:p>
    <w:p>
      <w:pPr>
        <w:pStyle w:val="Date"/>
      </w:pPr>
      <w:r>
        <w:t xml:space="preserve">February</w:t>
      </w:r>
      <w:r>
        <w:t xml:space="preserve"> </w:t>
      </w:r>
      <w:r>
        <w:t xml:space="preserve">14,</w:t>
      </w:r>
      <w:r>
        <w:t xml:space="preserve"> </w:t>
      </w:r>
      <w:r>
        <w:t xml:space="preserve">2017</w:t>
      </w:r>
    </w:p>
    <w:p>
      <w:pPr>
        <w:pStyle w:val="Heading1"/>
      </w:pPr>
      <w:bookmarkStart w:id="21" w:name="maize-in-ethiopia"/>
      <w:bookmarkEnd w:id="21"/>
      <w:r>
        <w:t xml:space="preserve">Maize in Ethiopia</w:t>
      </w:r>
    </w:p>
    <w:p>
      <w:pPr>
        <w:pStyle w:val="FirstParagraph"/>
      </w:pPr>
      <w:r>
        <w:t xml:space="preserve">This section should provie an overview why maize is an important food crop in Ethiopia/Ghana. Tom will prepare a table with key data from FAOSTAO and maize yield trends in comparison with other countries. We also might add some references to past/current policies to improve maize production.</w:t>
      </w:r>
    </w:p>
    <w:p>
      <w:pPr>
        <w:pStyle w:val="BodyText"/>
      </w:pPr>
      <w:r>
        <w:rPr>
          <w:b/>
        </w:rPr>
        <w:t xml:space="preserve">Table 1: Key data on the maize sector in Ethiopia/Ghana</w:t>
      </w:r>
      <w:r>
        <w:t xml:space="preserve"> </w:t>
      </w:r>
      <w:r>
        <w:t xml:space="preserve">To support this reasoning we can use the following information:</w:t>
      </w:r>
      <w:r>
        <w:t xml:space="preserve"> </w:t>
      </w:r>
      <w:r>
        <w:t xml:space="preserve">- Area % of total crop area</w:t>
      </w:r>
      <w:r>
        <w:t xml:space="preserve"> </w:t>
      </w:r>
      <w:r>
        <w:t xml:space="preserve">- Share of hybrid seeds</w:t>
      </w:r>
      <w:r>
        <w:t xml:space="preserve"> </w:t>
      </w:r>
      <w:r>
        <w:t xml:space="preserve">- Average yield</w:t>
      </w:r>
      <w:r>
        <w:t xml:space="preserve"> </w:t>
      </w:r>
      <w:r>
        <w:t xml:space="preserve">- Fertilizer use per ha</w:t>
      </w:r>
      <w:r>
        <w:t xml:space="preserve"> </w:t>
      </w:r>
      <w:r>
        <w:t xml:space="preserve">- Share of calories</w:t>
      </w:r>
      <w:r>
        <w:t xml:space="preserve"> </w:t>
      </w:r>
      <w:r>
        <w:t xml:space="preserve">- % of import/export</w:t>
      </w:r>
    </w:p>
    <w:tbl>
      <w:tblPr>
        <w:tblStyle w:val="TableNormal"/>
        <w:tblW w:type="pct" w:w="5000.0"/>
        <w:tblLook w:firstRow="1"/>
      </w:tblPr>
      <w:tblGrid>
        <w:gridCol w:w="2515"/>
        <w:gridCol w:w="1956"/>
        <w:gridCol w:w="1956"/>
        <w:gridCol w:w="1490"/>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Last Recorded Year</w:t>
            </w:r>
          </w:p>
        </w:tc>
        <w:tc>
          <w:tcPr>
            <w:tcBorders>
              <w:bottom w:val="single"/>
            </w:tcBorders>
            <w:vAlign w:val="bottom"/>
          </w:tcPr>
          <w:p>
            <w:pPr>
              <w:pStyle w:val="Compact"/>
              <w:jc w:val="right"/>
            </w:pPr>
            <w:r>
              <w:t xml:space="preserve">Value in Last Year</w:t>
            </w:r>
          </w:p>
        </w:tc>
        <w:tc>
          <w:tcPr>
            <w:tcBorders>
              <w:bottom w:val="single"/>
            </w:tcBorders>
            <w:vAlign w:val="bottom"/>
          </w:tcPr>
          <w:p>
            <w:pPr>
              <w:pStyle w:val="Compact"/>
              <w:jc w:val="right"/>
            </w:pPr>
            <w:r>
              <w:t xml:space="preserve">5 Year Average</w:t>
            </w:r>
          </w:p>
        </w:tc>
      </w:tr>
      <w:tr>
        <w:tc>
          <w:p>
            <w:pPr>
              <w:pStyle w:val="Compact"/>
              <w:jc w:val="left"/>
            </w:pPr>
            <w:r>
              <w:t xml:space="preserve">maize Yield</w:t>
            </w:r>
          </w:p>
        </w:tc>
        <w:tc>
          <w:p>
            <w:pPr>
              <w:pStyle w:val="Compact"/>
              <w:jc w:val="right"/>
            </w:pPr>
            <w:r>
              <w:t xml:space="preserve">2,014</w:t>
            </w:r>
          </w:p>
        </w:tc>
        <w:tc>
          <w:p>
            <w:pPr>
              <w:pStyle w:val="Compact"/>
              <w:jc w:val="right"/>
            </w:pPr>
            <w:r>
              <w:t xml:space="preserve">3,421.00</w:t>
            </w:r>
          </w:p>
        </w:tc>
        <w:tc>
          <w:p>
            <w:pPr>
              <w:pStyle w:val="Compact"/>
              <w:jc w:val="right"/>
            </w:pPr>
            <w:r>
              <w:t xml:space="preserve">3,045.62</w:t>
            </w:r>
          </w:p>
        </w:tc>
      </w:tr>
      <w:tr>
        <w:tc>
          <w:p>
            <w:pPr>
              <w:pStyle w:val="Compact"/>
              <w:jc w:val="left"/>
            </w:pPr>
            <w:r>
              <w:t xml:space="preserve">Maize Area Share</w:t>
            </w:r>
          </w:p>
        </w:tc>
        <w:tc>
          <w:p>
            <w:pPr>
              <w:pStyle w:val="Compact"/>
              <w:jc w:val="right"/>
            </w:pPr>
            <w:r>
              <w:t xml:space="preserve">2,014</w:t>
            </w:r>
          </w:p>
        </w:tc>
        <w:tc>
          <w:p>
            <w:pPr>
              <w:pStyle w:val="Compact"/>
              <w:jc w:val="right"/>
            </w:pPr>
            <w:r>
              <w:t xml:space="preserve">14.00</w:t>
            </w:r>
          </w:p>
        </w:tc>
        <w:tc>
          <w:p>
            <w:pPr>
              <w:pStyle w:val="Compact"/>
              <w:jc w:val="right"/>
            </w:pPr>
            <w:r>
              <w:t xml:space="preserve">13.50</w:t>
            </w:r>
          </w:p>
        </w:tc>
      </w:tr>
      <w:tr>
        <w:tc>
          <w:p>
            <w:pPr>
              <w:pStyle w:val="Compact"/>
              <w:jc w:val="left"/>
            </w:pPr>
            <w:r>
              <w:t xml:space="preserve">Fertilizer Use per 1000 ha</w:t>
            </w:r>
          </w:p>
        </w:tc>
        <w:tc>
          <w:p>
            <w:pPr>
              <w:pStyle w:val="Compact"/>
              <w:jc w:val="right"/>
            </w:pPr>
            <w:r>
              <w:t xml:space="preserve">2,010</w:t>
            </w:r>
          </w:p>
        </w:tc>
        <w:tc>
          <w:p>
            <w:pPr>
              <w:pStyle w:val="Compact"/>
              <w:jc w:val="right"/>
            </w:pPr>
            <w:r>
              <w:t xml:space="preserve">10.42</w:t>
            </w:r>
          </w:p>
        </w:tc>
        <w:tc>
          <w:p>
            <w:pPr>
              <w:pStyle w:val="Compact"/>
              <w:jc w:val="right"/>
            </w:pPr>
            <w:r>
              <w:t xml:space="preserve">7.93</w:t>
            </w:r>
          </w:p>
        </w:tc>
      </w:tr>
      <w:tr>
        <w:tc>
          <w:p>
            <w:pPr>
              <w:pStyle w:val="Compact"/>
              <w:jc w:val="left"/>
            </w:pPr>
            <w:r>
              <w:t xml:space="preserve">SSR</w:t>
            </w:r>
          </w:p>
        </w:tc>
        <w:tc>
          <w:p>
            <w:pPr>
              <w:pStyle w:val="Compact"/>
              <w:jc w:val="right"/>
            </w:pPr>
            <w:r>
              <w:t xml:space="preserve">2,013</w:t>
            </w:r>
          </w:p>
        </w:tc>
        <w:tc>
          <w:p>
            <w:pPr>
              <w:pStyle w:val="Compact"/>
              <w:jc w:val="right"/>
            </w:pPr>
            <w:r>
              <w:t xml:space="preserve">100.01</w:t>
            </w:r>
          </w:p>
        </w:tc>
        <w:tc>
          <w:p>
            <w:pPr>
              <w:pStyle w:val="Compact"/>
              <w:jc w:val="right"/>
            </w:pPr>
            <w:r>
              <w:t xml:space="preserve">99.81</w:t>
            </w:r>
          </w:p>
        </w:tc>
      </w:tr>
      <w:tr>
        <w:tc>
          <w:p>
            <w:pPr>
              <w:pStyle w:val="Compact"/>
              <w:jc w:val="left"/>
            </w:pPr>
            <w:r>
              <w:t xml:space="preserve">Maize Calories</w:t>
            </w:r>
          </w:p>
        </w:tc>
        <w:tc>
          <w:p>
            <w:pPr>
              <w:pStyle w:val="Compact"/>
              <w:jc w:val="right"/>
            </w:pPr>
            <w:r>
              <w:t xml:space="preserve">2,013</w:t>
            </w:r>
          </w:p>
        </w:tc>
        <w:tc>
          <w:p>
            <w:pPr>
              <w:pStyle w:val="Compact"/>
              <w:jc w:val="right"/>
            </w:pPr>
            <w:r>
              <w:t xml:space="preserve">18.69</w:t>
            </w:r>
          </w:p>
        </w:tc>
        <w:tc>
          <w:p>
            <w:pPr>
              <w:pStyle w:val="Compact"/>
              <w:jc w:val="right"/>
            </w:pPr>
            <w:r>
              <w:t xml:space="preserve">19.03</w:t>
            </w:r>
          </w:p>
        </w:tc>
      </w:tr>
    </w:tbl>
    <w:p>
      <w:pPr>
        <w:pStyle w:val="Heading5"/>
      </w:pPr>
      <w:bookmarkStart w:id="22" w:name="source-faostat-accessed-xx-xx-2017"/>
      <w:bookmarkEnd w:id="22"/>
      <w:r>
        <w:t xml:space="preserve">Source: FAOSTAT [accessed XX-XX-2017]</w:t>
      </w:r>
    </w:p>
    <w:p>
      <w:pPr>
        <w:pStyle w:val="FirstParagraph"/>
      </w:pPr>
      <w:r>
        <w:rPr>
          <w:b/>
        </w:rPr>
        <w:t xml:space="preserve">Figure 1: Yield development in Ethiopia compared to other regions</w:t>
      </w:r>
      <w:r>
        <w:t xml:space="preserve"> </w:t>
      </w:r>
      <w:r>
        <w:drawing>
          <wp:inline>
            <wp:extent cx="5969000" cy="3183466"/>
            <wp:effectExtent b="0" l="0" r="0" t="0"/>
            <wp:docPr descr="" id="1" name="Picture"/>
            <a:graphic>
              <a:graphicData uri="http://schemas.openxmlformats.org/drawingml/2006/picture">
                <pic:pic>
                  <pic:nvPicPr>
                    <pic:cNvPr descr="D:/Data/Github/ETHYG/FigTabMap/out-Fig_1-1.png" id="0" name="Picture"/>
                    <pic:cNvPicPr>
                      <a:picLocks noChangeArrowheads="1" noChangeAspect="1"/>
                    </pic:cNvPicPr>
                  </pic:nvPicPr>
                  <pic:blipFill>
                    <a:blip r:embed="rId23"/>
                    <a:stretch>
                      <a:fillRect/>
                    </a:stretch>
                  </pic:blipFill>
                  <pic:spPr bwMode="auto">
                    <a:xfrm>
                      <a:off x="0" y="0"/>
                      <a:ext cx="5969000" cy="3183466"/>
                    </a:xfrm>
                    <a:prstGeom prst="rect">
                      <a:avLst/>
                    </a:prstGeom>
                    <a:noFill/>
                    <a:ln w="9525">
                      <a:noFill/>
                      <a:headEnd/>
                      <a:tailEnd/>
                    </a:ln>
                  </pic:spPr>
                </pic:pic>
              </a:graphicData>
            </a:graphic>
          </wp:inline>
        </w:drawing>
      </w:r>
    </w:p>
    <w:p>
      <w:pPr>
        <w:pStyle w:val="Heading5"/>
      </w:pPr>
      <w:bookmarkStart w:id="24" w:name="source-faostat-accessed-xx-xx-2017-1"/>
      <w:bookmarkEnd w:id="24"/>
      <w:r>
        <w:t xml:space="preserve">Source: FAOSTAT [accessed XX-XX-2017]</w:t>
      </w:r>
    </w:p>
    <w:p>
      <w:pPr>
        <w:pStyle w:val="Heading1"/>
      </w:pPr>
      <w:bookmarkStart w:id="25" w:name="what-are-yield-gaps-and-why-are-they-important"/>
      <w:bookmarkEnd w:id="25"/>
      <w:r>
        <w:t xml:space="preserve">What are yield gaps and why are they important?</w:t>
      </w:r>
    </w:p>
    <w:p>
      <w:pPr>
        <w:pStyle w:val="FirstParagraph"/>
      </w:pPr>
      <w:r>
        <w:t xml:space="preserve">The notion of yield gap originates from agronomy and production ecology. It is the difference between the potential yield and the actually observed yield at the farm, field or plot level</w:t>
      </w:r>
      <w:r>
        <w:t xml:space="preserve"> </w:t>
      </w:r>
      <w:r>
        <w:t xml:space="preserve">(Van Ittersum and Rabbinge 1997,</w:t>
      </w:r>
      <w:r>
        <w:t xml:space="preserve"> </w:t>
      </w:r>
      <w:r>
        <w:t xml:space="preserve">Fischer (2015)</w:t>
      </w:r>
      <w:r>
        <w:t xml:space="preserve">)</w:t>
      </w:r>
      <w:r>
        <w:t xml:space="preserve">. It can be either expressed as a difference (in tonnes per hectare) or as a fraction. Potential yield is defined as</w:t>
      </w:r>
      <w:r>
        <w:t xml:space="preserve"> </w:t>
      </w:r>
      <w:r>
        <w:rPr>
          <w:i/>
        </w:rPr>
        <w:t xml:space="preserve">"the yield of a cultivar when grown in environments to which it is adapted, with nutrients and water non-limiting and with pests, diseases, weeds, lodging, and other stresses effectively controlled”</w:t>
      </w:r>
      <w:r>
        <w:t xml:space="preserve"> </w:t>
      </w:r>
      <w:r>
        <w:t xml:space="preserve">(Evans and Fischer 1999)</w:t>
      </w:r>
      <w:r>
        <w:t xml:space="preserve">. It refers to the biophysical maximum production level of a crop with growth only constrained by so-called</w:t>
      </w:r>
      <w:r>
        <w:t xml:space="preserve"> </w:t>
      </w:r>
      <w:r>
        <w:rPr>
          <w:i/>
        </w:rPr>
        <w:t xml:space="preserve">growth defining factors</w:t>
      </w:r>
      <w:r>
        <w:t xml:space="preserve">, which including atmospheric CO2 emissions, solar radiation, temperature and plant characteristics. In large parts of Africa, crop systems (including maize cultivation in</w:t>
      </w:r>
      <w:r>
        <w:t xml:space="preserve"> </w:t>
      </w:r>
      <w:r>
        <w:t xml:space="preserve">(</w:t>
      </w:r>
      <w:r>
        <w:rPr>
          <w:b/>
        </w:rPr>
        <w:t xml:space="preserve">???</w:t>
      </w:r>
      <w:r>
        <w:t xml:space="preserve">)</w:t>
      </w:r>
      <w:r>
        <w:t xml:space="preserve">) are rainfed. As water is structurally limitated for these systems, water-limited potential yield, which assumes water is limited by natural rainfall is the suitable benchmark. The preferred approach to estimate potential yield is by means of crop models that simulate all details of the plant growth process</w:t>
      </w:r>
      <w:r>
        <w:t xml:space="preserve"> </w:t>
      </w:r>
      <w:r>
        <w:t xml:space="preserve">(Ittersum et al. 2013)</w:t>
      </w:r>
      <w:r>
        <w:t xml:space="preserve">.</w:t>
      </w:r>
    </w:p>
    <w:p>
      <w:pPr>
        <w:pStyle w:val="BodyText"/>
      </w:pPr>
      <w:r>
        <w:t xml:space="preserve">In practice, actual farmers’ yield is lower than potential yield due to a wide number of interrelated agronomic and socio-economic factors that differ by region</w:t>
      </w:r>
      <w:r>
        <w:t xml:space="preserve"> </w:t>
      </w:r>
      <w:r>
        <w:t xml:space="preserve">(Fischer, Byerlee, and Edmeades 2014)</w:t>
      </w:r>
      <w:r>
        <w:t xml:space="preserve">. According to a survey of expert opinions</w:t>
      </w:r>
      <w:r>
        <w:t xml:space="preserve"> </w:t>
      </w:r>
      <w:r>
        <w:t xml:space="preserve">(Gibbon, Dixon, and Flores Velazquez 2007)</w:t>
      </w:r>
      <w:r>
        <w:t xml:space="preserve">, the main agronomic factors that constrain maize yield in Sub-Saharan Africa are soil constraints, weeds and drought. These are largely technical problems, which are caused by deeper socio-economic and institutional factors. It is well known that a key reason for low yields in Africa is the low use of fertilizer, which, in turn, is caused by a combination of high fertilizer prices and low crop prices, limited information and, weak distribution and marking systems</w:t>
      </w:r>
      <w:r>
        <w:t xml:space="preserve"> </w:t>
      </w:r>
      <w:r>
        <w:t xml:space="preserve">(Morris et al. 2007)</w:t>
      </w:r>
      <w:r>
        <w:t xml:space="preserve">. Similarly, other studies found strong relationships between yield (and yield gaps) and the quality of infrastructure, provision of credit and avaiability of extension services</w:t>
      </w:r>
      <w:r>
        <w:t xml:space="preserve"> </w:t>
      </w:r>
      <w:r>
        <w:t xml:space="preserve">(Neumann et al. 2010,</w:t>
      </w:r>
      <w:r>
        <w:t xml:space="preserve"> </w:t>
      </w:r>
      <w:r>
        <w:t xml:space="preserve">Dorosh et al. (2012)</w:t>
      </w:r>
      <w:r>
        <w:t xml:space="preserve">,</w:t>
      </w:r>
      <w:r>
        <w:t xml:space="preserve"> </w:t>
      </w:r>
      <w:r>
        <w:t xml:space="preserve">Bravo-Ureta et al. (2007)</w:t>
      </w:r>
      <w:r>
        <w:t xml:space="preserve">,</w:t>
      </w:r>
      <w:r>
        <w:t xml:space="preserve"> </w:t>
      </w:r>
      <w:r>
        <w:t xml:space="preserve">Ogundari (2014)</w:t>
      </w:r>
      <w:r>
        <w:t xml:space="preserve">)</w:t>
      </w:r>
      <w:r>
        <w:t xml:space="preserve">.</w:t>
      </w:r>
    </w:p>
    <w:p>
      <w:pPr>
        <w:pStyle w:val="BodyText"/>
      </w:pPr>
      <w:r>
        <w:t xml:space="preserve">According to the latest FAO projections, agricultural production in Sub-Saharan Africa (SSA) will have to triple to fulfil demand by 2050</w:t>
      </w:r>
      <w:r>
        <w:t xml:space="preserve"> </w:t>
      </w:r>
      <w:r>
        <w:t xml:space="preserve">(Alexandratos and Bruinsma 2012)</w:t>
      </w:r>
      <w:r>
        <w:t xml:space="preserve">. Around 80 % of the projected growth will have to come from intensification, predominantly an increase in yields through better use of inputs. Yield gap estimations and explanations provide important information on the scope for production increases on existing agricultural land through better farming systems, farm management and enabling policies</w:t>
      </w:r>
      <w:r>
        <w:t xml:space="preserve"> </w:t>
      </w:r>
      <w:r>
        <w:t xml:space="preserve">(Mueller et al. 2012,</w:t>
      </w:r>
      <w:r>
        <w:t xml:space="preserve"> </w:t>
      </w:r>
      <w:r>
        <w:t xml:space="preserve">Laborte et al. (2012)</w:t>
      </w:r>
      <w:r>
        <w:t xml:space="preserve">)</w:t>
      </w:r>
      <w:r>
        <w:t xml:space="preserve">.</w:t>
      </w:r>
    </w:p>
    <w:p>
      <w:pPr>
        <w:pStyle w:val="Heading1"/>
      </w:pPr>
      <w:bookmarkStart w:id="26" w:name="maize-yield-gaps-in-ethiopia"/>
      <w:bookmarkEnd w:id="26"/>
      <w:r>
        <w:t xml:space="preserve">Maize yield gaps in Ethiopia</w:t>
      </w:r>
    </w:p>
    <w:p>
      <w:pPr>
        <w:pStyle w:val="FirstParagraph"/>
      </w:pPr>
      <w:r>
        <w:t xml:space="preserve">The Global Yield Gap Atlas (GYGA) is an international project that presents consistent estimates of potential yield and yield gaps for nine major food crops in a large number of countries, including maize in Ethiopia/Ghana</w:t>
      </w:r>
      <w:r>
        <w:t xml:space="preserve"> </w:t>
      </w:r>
      <w:r>
        <w:t xml:space="preserve">(Ittersum et al. 2013,</w:t>
      </w:r>
      <w:r>
        <w:t xml:space="preserve"> </w:t>
      </w:r>
      <w:r>
        <w:t xml:space="preserve">Grassini et al. (2015)</w:t>
      </w:r>
      <w:r>
        <w:t xml:space="preserve">)</w:t>
      </w:r>
      <w:r>
        <w:t xml:space="preserve">. Potentiel yield is calculates using robust crop simulation models using local weather station data and</w:t>
      </w:r>
      <w:r>
        <w:t xml:space="preserve"> </w:t>
      </w:r>
      <w:r>
        <w:t xml:space="preserve">(</w:t>
      </w:r>
      <w:r>
        <w:rPr>
          <w:b/>
        </w:rPr>
        <w:t xml:space="preserve">???</w:t>
      </w:r>
      <w:r>
        <w:t xml:space="preserve">)</w:t>
      </w:r>
      <w:r>
        <w:t xml:space="preserve"> </w:t>
      </w:r>
      <w:r>
        <w:t xml:space="preserve">as imput. Information on actual yield has been collected from local and national statistical sources and input from country agonomists and experts. Figure 2 and 3 present a map of the water-limited maize yield potential and the corresponind yield gap in Ethiopia. Potential maize yield ranges from over 18 tons/ha in the West to below 9 tons/ha in the East of Ethiopia. Actual farmers' yield lies below 1.7 and 2.5 tons/ha resulting in yield gaps of between 88 and 63 percent. Hence, there is large scope to increase maize yield in the future.</w:t>
      </w:r>
    </w:p>
    <w:p>
      <w:pPr>
        <w:pStyle w:val="BodyText"/>
      </w:pPr>
      <w:r>
        <w:rPr>
          <w:b/>
        </w:rPr>
        <w:t xml:space="preserve">Figure 2: Water-limited Maize yield potential in Ethiopia</w:t>
      </w:r>
    </w:p>
    <w:p>
      <w:pPr>
        <w:pStyle w:val="BodyText"/>
      </w:pPr>
      <w:r>
        <w:drawing>
          <wp:inline>
            <wp:extent cx="5969000" cy="5969000"/>
            <wp:effectExtent b="0" l="0" r="0" t="0"/>
            <wp:docPr descr="" id="1" name="Picture"/>
            <a:graphic>
              <a:graphicData uri="http://schemas.openxmlformats.org/drawingml/2006/picture">
                <pic:pic>
                  <pic:nvPicPr>
                    <pic:cNvPr descr="D:/Data/Github/ETHYG/FigTabMap/out-Fig-3-1.png" id="0" name="Picture"/>
                    <pic:cNvPicPr>
                      <a:picLocks noChangeArrowheads="1" noChangeAspect="1"/>
                    </pic:cNvPicPr>
                  </pic:nvPicPr>
                  <pic:blipFill>
                    <a:blip r:embed="rId27"/>
                    <a:stretch>
                      <a:fillRect/>
                    </a:stretch>
                  </pic:blipFill>
                  <pic:spPr bwMode="auto">
                    <a:xfrm>
                      <a:off x="0" y="0"/>
                      <a:ext cx="5969000" cy="5969000"/>
                    </a:xfrm>
                    <a:prstGeom prst="rect">
                      <a:avLst/>
                    </a:prstGeom>
                    <a:noFill/>
                    <a:ln w="9525">
                      <a:noFill/>
                      <a:headEnd/>
                      <a:tailEnd/>
                    </a:ln>
                  </pic:spPr>
                </pic:pic>
              </a:graphicData>
            </a:graphic>
          </wp:inline>
        </w:drawing>
      </w:r>
    </w:p>
    <w:p>
      <w:pPr>
        <w:pStyle w:val="BodyText"/>
      </w:pPr>
      <w:r>
        <w:rPr>
          <w:b/>
        </w:rPr>
        <w:t xml:space="preserve">Figure 3: Maize yield gap in Ethiopia</w:t>
      </w:r>
    </w:p>
    <w:p>
      <w:pPr>
        <w:pStyle w:val="BodyText"/>
      </w:pPr>
      <w:r>
        <w:drawing>
          <wp:inline>
            <wp:extent cx="5969000" cy="5969000"/>
            <wp:effectExtent b="0" l="0" r="0" t="0"/>
            <wp:docPr descr="" id="1" name="Picture"/>
            <a:graphic>
              <a:graphicData uri="http://schemas.openxmlformats.org/drawingml/2006/picture">
                <pic:pic>
                  <pic:nvPicPr>
                    <pic:cNvPr descr="D:/Data/Github/ETHYG/FigTabMap/out-Fig-2-1.png" id="0" name="Picture"/>
                    <pic:cNvPicPr>
                      <a:picLocks noChangeArrowheads="1" noChangeAspect="1"/>
                    </pic:cNvPicPr>
                  </pic:nvPicPr>
                  <pic:blipFill>
                    <a:blip r:embed="rId28"/>
                    <a:stretch>
                      <a:fillRect/>
                    </a:stretch>
                  </pic:blipFill>
                  <pic:spPr bwMode="auto">
                    <a:xfrm>
                      <a:off x="0" y="0"/>
                      <a:ext cx="5969000" cy="5969000"/>
                    </a:xfrm>
                    <a:prstGeom prst="rect">
                      <a:avLst/>
                    </a:prstGeom>
                    <a:noFill/>
                    <a:ln w="9525">
                      <a:noFill/>
                      <a:headEnd/>
                      <a:tailEnd/>
                    </a:ln>
                  </pic:spPr>
                </pic:pic>
              </a:graphicData>
            </a:graphic>
          </wp:inline>
        </w:drawing>
      </w:r>
    </w:p>
    <w:p>
      <w:pPr>
        <w:pStyle w:val="Heading1"/>
      </w:pPr>
      <w:bookmarkStart w:id="29" w:name="improving-future-food-security-by-closing-the-yield-gap"/>
      <w:bookmarkEnd w:id="29"/>
      <w:r>
        <w:t xml:space="preserve">Improving future food security by closing the yield gap</w:t>
      </w:r>
    </w:p>
    <w:p>
      <w:pPr>
        <w:pStyle w:val="FirstParagraph"/>
      </w:pPr>
      <w:r>
        <w:t xml:space="preserve">The results from GYGA can be used to answer the question if Africa (including Ethiopia/Ghana) can feed itself in the future.</w:t>
      </w:r>
    </w:p>
    <w:p>
      <w:pPr>
        <w:pStyle w:val="BodyText"/>
      </w:pPr>
      <w:r>
        <w:rPr>
          <w:b/>
        </w:rPr>
        <w:t xml:space="preserve">Figure 4: Maize yield gap in Ethiopia</w:t>
      </w:r>
    </w:p>
    <w:p>
      <w:pPr>
        <w:pStyle w:val="BodyText"/>
      </w:pPr>
      <w:r>
        <w:drawing>
          <wp:inline>
            <wp:extent cx="5969000" cy="2984500"/>
            <wp:effectExtent b="0" l="0" r="0" t="0"/>
            <wp:docPr descr="" id="1" name="Picture"/>
            <a:graphic>
              <a:graphicData uri="http://schemas.openxmlformats.org/drawingml/2006/picture">
                <pic:pic>
                  <pic:nvPicPr>
                    <pic:cNvPr descr="D:/Data/Github/ETHYG/FigTabMap/out-Fig-4-1.png" id="0" name="Picture"/>
                    <pic:cNvPicPr>
                      <a:picLocks noChangeArrowheads="1" noChangeAspect="1"/>
                    </pic:cNvPicPr>
                  </pic:nvPicPr>
                  <pic:blipFill>
                    <a:blip r:embed="rId30"/>
                    <a:stretch>
                      <a:fillRect/>
                    </a:stretch>
                  </pic:blipFill>
                  <pic:spPr bwMode="auto">
                    <a:xfrm>
                      <a:off x="0" y="0"/>
                      <a:ext cx="5969000" cy="2984500"/>
                    </a:xfrm>
                    <a:prstGeom prst="rect">
                      <a:avLst/>
                    </a:prstGeom>
                    <a:noFill/>
                    <a:ln w="9525">
                      <a:noFill/>
                      <a:headEnd/>
                      <a:tailEnd/>
                    </a:ln>
                  </pic:spPr>
                </pic:pic>
              </a:graphicData>
            </a:graphic>
          </wp:inline>
        </w:drawing>
      </w:r>
    </w:p>
    <w:p>
      <w:pPr>
        <w:pStyle w:val="Heading1"/>
      </w:pPr>
      <w:bookmarkStart w:id="31" w:name="recommendations"/>
      <w:bookmarkEnd w:id="31"/>
      <w:r>
        <w:t xml:space="preserve">Recommendations</w:t>
      </w:r>
    </w:p>
    <w:p>
      <w:pPr>
        <w:pStyle w:val="Heading1"/>
      </w:pPr>
      <w:bookmarkStart w:id="32" w:name="references"/>
      <w:bookmarkEnd w:id="32"/>
      <w:r>
        <w:t xml:space="preserve">References</w:t>
      </w:r>
    </w:p>
    <w:p>
      <w:pPr>
        <w:pStyle w:val="Bibliography"/>
      </w:pPr>
      <w:r>
        <w:t xml:space="preserve">Alexandratos, N., and J. Bruinsma. 2012. “World agriculture towards 2030/2050: The 2012 Revision.” ESA Working Paper. Food; Agriculture Organization of the United Nations. doi:</w:t>
      </w:r>
      <w:hyperlink r:id="rId33">
        <w:r>
          <w:rPr>
            <w:rStyle w:val="Hyperlink"/>
          </w:rPr>
          <w:t xml:space="preserve">10.1016/S0264-8377(03)00047-4</w:t>
        </w:r>
      </w:hyperlink>
      <w:r>
        <w:t xml:space="preserve">.</w:t>
      </w:r>
    </w:p>
    <w:p>
      <w:pPr>
        <w:pStyle w:val="Bibliography"/>
      </w:pPr>
      <w:r>
        <w:t xml:space="preserve">Bravo-Ureta, Boris E., Daniel Solís, Víctor H. Moreira López, José F. Maripani, Abdourahmane Thiam, and Teodoro Rivas. 2007. “Technical efficiency in farming: a meta-regression analysis.”</w:t>
      </w:r>
      <w:r>
        <w:t xml:space="preserve"> </w:t>
      </w:r>
      <w:r>
        <w:rPr>
          <w:i/>
        </w:rPr>
        <w:t xml:space="preserve">Journal of Productivity Analysis</w:t>
      </w:r>
      <w:r>
        <w:t xml:space="preserve"> </w:t>
      </w:r>
      <w:r>
        <w:t xml:space="preserve">27 (1). Kluwer Academic Publishers-Plenum Publishers: 57–72. doi:</w:t>
      </w:r>
      <w:hyperlink r:id="rId34">
        <w:r>
          <w:rPr>
            <w:rStyle w:val="Hyperlink"/>
          </w:rPr>
          <w:t xml:space="preserve">10.1007/s11123-006-0025-3</w:t>
        </w:r>
      </w:hyperlink>
      <w:r>
        <w:t xml:space="preserve">.</w:t>
      </w:r>
    </w:p>
    <w:p>
      <w:pPr>
        <w:pStyle w:val="Bibliography"/>
      </w:pPr>
      <w:r>
        <w:t xml:space="preserve">Dorosh, Paul, Hyoung Gun Wang, Liangzhi You, and Emily Schmidt. 2012. “Road connectivity, population, and crop production in Sub-Saharan Africa.”</w:t>
      </w:r>
      <w:r>
        <w:t xml:space="preserve"> </w:t>
      </w:r>
      <w:r>
        <w:rPr>
          <w:i/>
        </w:rPr>
        <w:t xml:space="preserve">Agricultural Economics</w:t>
      </w:r>
      <w:r>
        <w:t xml:space="preserve"> </w:t>
      </w:r>
      <w:r>
        <w:t xml:space="preserve">43 (1): 89–103. doi:</w:t>
      </w:r>
      <w:hyperlink r:id="rId35">
        <w:r>
          <w:rPr>
            <w:rStyle w:val="Hyperlink"/>
          </w:rPr>
          <w:t xml:space="preserve">10.1111/j.1574-0862.2011.00567.x</w:t>
        </w:r>
      </w:hyperlink>
      <w:r>
        <w:t xml:space="preserve">.</w:t>
      </w:r>
    </w:p>
    <w:p>
      <w:pPr>
        <w:pStyle w:val="Bibliography"/>
      </w:pPr>
      <w:r>
        <w:t xml:space="preserve">Evans, L.T., and R.A. Fischer. 1999. “Yield Potential.”</w:t>
      </w:r>
      <w:r>
        <w:t xml:space="preserve"> </w:t>
      </w:r>
      <w:r>
        <w:rPr>
          <w:i/>
        </w:rPr>
        <w:t xml:space="preserve">Crop Science</w:t>
      </w:r>
      <w:r>
        <w:t xml:space="preserve"> </w:t>
      </w:r>
      <w:r>
        <w:t xml:space="preserve">39 (6). Crop Science Society of America: 1544. doi:</w:t>
      </w:r>
      <w:hyperlink r:id="rId36">
        <w:r>
          <w:rPr>
            <w:rStyle w:val="Hyperlink"/>
          </w:rPr>
          <w:t xml:space="preserve">10.2135/cropsci1999.3961544x</w:t>
        </w:r>
      </w:hyperlink>
      <w:r>
        <w:t xml:space="preserve">.</w:t>
      </w:r>
    </w:p>
    <w:p>
      <w:pPr>
        <w:pStyle w:val="Bibliography"/>
      </w:pPr>
      <w:r>
        <w:t xml:space="preserve">Fischer, R.A. 2015. “Definitions and determination of crop yield, yield gaps, and of rates of change.”</w:t>
      </w:r>
      <w:r>
        <w:t xml:space="preserve"> </w:t>
      </w:r>
      <w:r>
        <w:rPr>
          <w:i/>
        </w:rPr>
        <w:t xml:space="preserve">Field Crops Research</w:t>
      </w:r>
      <w:r>
        <w:t xml:space="preserve"> </w:t>
      </w:r>
      <w:r>
        <w:t xml:space="preserve">182: 9–18. doi:</w:t>
      </w:r>
      <w:hyperlink r:id="rId37">
        <w:r>
          <w:rPr>
            <w:rStyle w:val="Hyperlink"/>
          </w:rPr>
          <w:t xml:space="preserve">10.1016/j.fcr.2014.12.006</w:t>
        </w:r>
      </w:hyperlink>
      <w:r>
        <w:t xml:space="preserve">.</w:t>
      </w:r>
    </w:p>
    <w:p>
      <w:pPr>
        <w:pStyle w:val="Bibliography"/>
      </w:pPr>
      <w:r>
        <w:t xml:space="preserve">Fischer, R.A., Derek Byerlee, and Greg. O. Edmeades. 2014. “Crop yields and global food security: will yield increase continue to feed the world?” doi:</w:t>
      </w:r>
      <w:hyperlink r:id="rId38">
        <w:r>
          <w:rPr>
            <w:rStyle w:val="Hyperlink"/>
          </w:rPr>
          <w:t xml:space="preserve">10.1093/erae/jbv034</w:t>
        </w:r>
      </w:hyperlink>
      <w:r>
        <w:t xml:space="preserve">.</w:t>
      </w:r>
    </w:p>
    <w:p>
      <w:pPr>
        <w:pStyle w:val="Bibliography"/>
      </w:pPr>
      <w:r>
        <w:t xml:space="preserve">Gibbon, D., J. Dixon, and D. Flores Velazquez. 2007. “Beyond drought tolerant maize: study of additional priorities in maize.” CIMMYT.</w:t>
      </w:r>
    </w:p>
    <w:p>
      <w:pPr>
        <w:pStyle w:val="Bibliography"/>
      </w:pPr>
      <w:r>
        <w:t xml:space="preserve">Grassini, Patricio, Lenny G.J. J van Bussel, Justin Van Wart, Joost Wolf, Lieven Claessens, Haishun Yang, Hendrik Boogaard, Hugo de Groot, Martin K. van Ittersum, and Kenneth G. Cassman. 2015. “How good is good enough? Data requirements for reliable crop yield simulations and yield-gap analysis.”</w:t>
      </w:r>
      <w:r>
        <w:t xml:space="preserve"> </w:t>
      </w:r>
      <w:r>
        <w:rPr>
          <w:i/>
        </w:rPr>
        <w:t xml:space="preserve">Field Crops Research</w:t>
      </w:r>
      <w:r>
        <w:t xml:space="preserve"> </w:t>
      </w:r>
      <w:r>
        <w:t xml:space="preserve">177. Elsevier B.V.: 49–63. doi:</w:t>
      </w:r>
      <w:hyperlink r:id="rId39">
        <w:r>
          <w:rPr>
            <w:rStyle w:val="Hyperlink"/>
          </w:rPr>
          <w:t xml:space="preserve">10.1016/j.fcr.2015.03.004</w:t>
        </w:r>
      </w:hyperlink>
      <w:r>
        <w:t xml:space="preserve">.</w:t>
      </w:r>
    </w:p>
    <w:p>
      <w:pPr>
        <w:pStyle w:val="Bibliography"/>
      </w:pPr>
      <w:r>
        <w:t xml:space="preserve">Ittersum, Martin K. van, Kenneth G. Cassman, Patricio Grassini, Joost Wolf, Pablo Tittonell, and Zvi Hochman. 2013. “Yield gap analysis with local to global relevance-A review.”</w:t>
      </w:r>
      <w:r>
        <w:t xml:space="preserve"> </w:t>
      </w:r>
      <w:r>
        <w:rPr>
          <w:i/>
        </w:rPr>
        <w:t xml:space="preserve">Field Crops Research</w:t>
      </w:r>
      <w:r>
        <w:t xml:space="preserve"> </w:t>
      </w:r>
      <w:r>
        <w:t xml:space="preserve">143. Elsevier B.V.: 4–17. doi:</w:t>
      </w:r>
      <w:hyperlink r:id="rId40">
        <w:r>
          <w:rPr>
            <w:rStyle w:val="Hyperlink"/>
          </w:rPr>
          <w:t xml:space="preserve">10.1016/j.fcr.2012.09.009</w:t>
        </w:r>
      </w:hyperlink>
      <w:r>
        <w:t xml:space="preserve">.</w:t>
      </w:r>
    </w:p>
    <w:p>
      <w:pPr>
        <w:pStyle w:val="Bibliography"/>
      </w:pPr>
      <w:r>
        <w:t xml:space="preserve">Laborte, Alice G., Kees C A J M de Bie, Eric M A Smaling, Piedad F. Moya, Anita A. Boling, and Martin K. Van Ittersum. 2012. “Rice yields and yield gaps in Southeast Asia: Past trends and future outlook.”</w:t>
      </w:r>
      <w:r>
        <w:t xml:space="preserve"> </w:t>
      </w:r>
      <w:r>
        <w:rPr>
          <w:i/>
        </w:rPr>
        <w:t xml:space="preserve">European Journal of Agronomy</w:t>
      </w:r>
      <w:r>
        <w:t xml:space="preserve"> </w:t>
      </w:r>
      <w:r>
        <w:t xml:space="preserve">36 (1). Elsevier B.V.: 9–20. doi:</w:t>
      </w:r>
      <w:hyperlink r:id="rId41">
        <w:r>
          <w:rPr>
            <w:rStyle w:val="Hyperlink"/>
          </w:rPr>
          <w:t xml:space="preserve">10.1016/j.eja.2011.08.005</w:t>
        </w:r>
      </w:hyperlink>
      <w:r>
        <w:t xml:space="preserve">.</w:t>
      </w:r>
    </w:p>
    <w:p>
      <w:pPr>
        <w:pStyle w:val="Bibliography"/>
      </w:pPr>
      <w:r>
        <w:t xml:space="preserve">Morris, Michael, Valerie a Kelly, Ron J Kopicki, and Derek Byerlee. 2007.</w:t>
      </w:r>
      <w:r>
        <w:t xml:space="preserve"> </w:t>
      </w:r>
      <w:r>
        <w:rPr>
          <w:i/>
        </w:rPr>
        <w:t xml:space="preserve">Fertilizer Use in African Agriculture</w:t>
      </w:r>
      <w:r>
        <w:t xml:space="preserve">. Vol. 44. 01. doi:</w:t>
      </w:r>
      <w:hyperlink r:id="rId42">
        <w:r>
          <w:rPr>
            <w:rStyle w:val="Hyperlink"/>
          </w:rPr>
          <w:t xml:space="preserve">10.1596/978-0-8213-6880-0</w:t>
        </w:r>
      </w:hyperlink>
      <w:r>
        <w:t xml:space="preserve">.</w:t>
      </w:r>
    </w:p>
    <w:p>
      <w:pPr>
        <w:pStyle w:val="Bibliography"/>
      </w:pPr>
      <w:r>
        <w:t xml:space="preserve">Mueller, Nathaniel D., James S. Gerber, Matt Johnston, Deepak K. Ray, Navin Ramankutty, and Jonathan A. Foley. 2012. “Closing yield gaps through nutrient and water management.”</w:t>
      </w:r>
      <w:r>
        <w:t xml:space="preserve"> </w:t>
      </w:r>
      <w:r>
        <w:rPr>
          <w:i/>
        </w:rPr>
        <w:t xml:space="preserve">Nature</w:t>
      </w:r>
      <w:r>
        <w:t xml:space="preserve"> </w:t>
      </w:r>
      <w:r>
        <w:t xml:space="preserve">490 (7419). Nature Research: 254–57. doi:</w:t>
      </w:r>
      <w:hyperlink r:id="rId43">
        <w:r>
          <w:rPr>
            <w:rStyle w:val="Hyperlink"/>
          </w:rPr>
          <w:t xml:space="preserve">10.1038/nature11420</w:t>
        </w:r>
      </w:hyperlink>
      <w:r>
        <w:t xml:space="preserve">.</w:t>
      </w:r>
    </w:p>
    <w:p>
      <w:pPr>
        <w:pStyle w:val="Bibliography"/>
      </w:pPr>
      <w:r>
        <w:t xml:space="preserve">Neumann, Kathleen, Peter H. Verburg, Elke Stehfest, and Christoph Müller. 2010. “The yield gap of global grain production: A spatial analysis.”</w:t>
      </w:r>
      <w:r>
        <w:t xml:space="preserve"> </w:t>
      </w:r>
      <w:r>
        <w:rPr>
          <w:i/>
        </w:rPr>
        <w:t xml:space="preserve">Agricultural Systems</w:t>
      </w:r>
      <w:r>
        <w:t xml:space="preserve"> </w:t>
      </w:r>
      <w:r>
        <w:t xml:space="preserve">103 (5): 316–26. doi:</w:t>
      </w:r>
      <w:hyperlink r:id="rId44">
        <w:r>
          <w:rPr>
            <w:rStyle w:val="Hyperlink"/>
          </w:rPr>
          <w:t xml:space="preserve">10.1016/j.agsy.2010.02.004</w:t>
        </w:r>
      </w:hyperlink>
      <w:r>
        <w:t xml:space="preserve">.</w:t>
      </w:r>
    </w:p>
    <w:p>
      <w:pPr>
        <w:pStyle w:val="Bibliography"/>
      </w:pPr>
      <w:r>
        <w:t xml:space="preserve">Ogundari, Kolawole. 2014. “The Paradigm of Agricultural Efficiency and its Implication on Food Security in Africa: What Does Meta-analysis Reveal?”</w:t>
      </w:r>
      <w:r>
        <w:t xml:space="preserve"> </w:t>
      </w:r>
      <w:r>
        <w:rPr>
          <w:i/>
        </w:rPr>
        <w:t xml:space="preserve">World Development</w:t>
      </w:r>
      <w:r>
        <w:t xml:space="preserve"> </w:t>
      </w:r>
      <w:r>
        <w:t xml:space="preserve">64 (1920). Elsevier Ltd: 690–702. doi:</w:t>
      </w:r>
      <w:hyperlink r:id="rId45">
        <w:r>
          <w:rPr>
            <w:rStyle w:val="Hyperlink"/>
          </w:rPr>
          <w:t xml:space="preserve">10.1016/j.worlddev.2014.07.005</w:t>
        </w:r>
      </w:hyperlink>
      <w:r>
        <w:t xml:space="preserve">.</w:t>
      </w:r>
    </w:p>
    <w:p>
      <w:pPr>
        <w:pStyle w:val="Bibliography"/>
      </w:pPr>
      <w:r>
        <w:t xml:space="preserve">Van Ittersum, Martin K., and R. Rabbinge. 1997. “Concepts in production ecology for analysis and quantification of agricultural input-output combinations.”</w:t>
      </w:r>
      <w:r>
        <w:t xml:space="preserve"> </w:t>
      </w:r>
      <w:r>
        <w:rPr>
          <w:i/>
        </w:rPr>
        <w:t xml:space="preserve">Field Crops Research</w:t>
      </w:r>
      <w:r>
        <w:t xml:space="preserve"> </w:t>
      </w:r>
      <w:r>
        <w:t xml:space="preserve">52 (3): 197–208. doi:</w:t>
      </w:r>
      <w:hyperlink r:id="rId46">
        <w:r>
          <w:rPr>
            <w:rStyle w:val="Hyperlink"/>
          </w:rPr>
          <w:t xml:space="preserve">10.1016/S0378-4290(97)00037-3</w:t>
        </w:r>
      </w:hyperlink>
      <w:r>
        <w:t xml:space="preserve">.</w:t>
      </w:r>
    </w:p>
    <w:sectPr w:rsidR="000855F7">
      <w:footerReference w:type="default" r:id="rId8"/>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6909015"/>
      <w:docPartObj>
        <w:docPartGallery w:val="Page Numbers (Bottom of Page)"/>
        <w:docPartUnique/>
      </w:docPartObj>
    </w:sdtPr>
    <w:sdtEndPr>
      <w:rPr>
        <w:noProof/>
      </w:rPr>
    </w:sdtEndPr>
    <w:sdtContent>
      <w:p w:rsidR="0046739F" w:rsidRDefault="006059BA">
        <w:pPr>
          <w:pStyle w:val="Footer"/>
          <w:jc w:val="center"/>
        </w:pPr>
        <w:r>
          <w:fldChar w:fldCharType="begin"/>
        </w:r>
        <w:r>
          <w:instrText xml:space="preserve"> PAGE   \* MERGEFORMAT </w:instrText>
        </w:r>
        <w:r>
          <w:fldChar w:fldCharType="separate"/>
        </w:r>
        <w:r w:rsidR="00922224">
          <w:rPr>
            <w:noProof/>
          </w:rPr>
          <w:t>9</w:t>
        </w:r>
        <w:r>
          <w:rPr>
            <w:noProof/>
          </w:rPr>
          <w:fldChar w:fldCharType="end"/>
        </w:r>
      </w:p>
    </w:sdtContent>
  </w:sdt>
  <w:p w:rsidR="0046739F" w:rsidRDefault="006059B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7FF4FB"/>
    <w:multiLevelType w:val="multilevel"/>
    <w:tmpl w:val="FBD4AB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9A6E489"/>
    <w:multiLevelType w:val="multilevel"/>
    <w:tmpl w:val="799602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B619AB92"/>
    <w:multiLevelType w:val="multilevel"/>
    <w:tmpl w:val="5C26771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C0E410CA"/>
    <w:multiLevelType w:val="multilevel"/>
    <w:tmpl w:val="AA70133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DC0F7B24"/>
    <w:multiLevelType w:val="multilevel"/>
    <w:tmpl w:val="417A74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FFFFFF7C"/>
    <w:multiLevelType w:val="singleLevel"/>
    <w:tmpl w:val="FC3C43C6"/>
    <w:lvl w:ilvl="0">
      <w:start w:val="1"/>
      <w:numFmt w:val="decimal"/>
      <w:lvlText w:val="%1."/>
      <w:lvlJc w:val="left"/>
      <w:pPr>
        <w:tabs>
          <w:tab w:val="num" w:pos="1492"/>
        </w:tabs>
        <w:ind w:left="1492" w:hanging="360"/>
      </w:pPr>
    </w:lvl>
  </w:abstractNum>
  <w:abstractNum w:abstractNumId="6">
    <w:nsid w:val="FFFFFF7D"/>
    <w:multiLevelType w:val="singleLevel"/>
    <w:tmpl w:val="F686FEAE"/>
    <w:lvl w:ilvl="0">
      <w:start w:val="1"/>
      <w:numFmt w:val="decimal"/>
      <w:lvlText w:val="%1."/>
      <w:lvlJc w:val="left"/>
      <w:pPr>
        <w:tabs>
          <w:tab w:val="num" w:pos="1209"/>
        </w:tabs>
        <w:ind w:left="1209" w:hanging="360"/>
      </w:pPr>
    </w:lvl>
  </w:abstractNum>
  <w:abstractNum w:abstractNumId="7">
    <w:nsid w:val="FFFFFF7E"/>
    <w:multiLevelType w:val="singleLevel"/>
    <w:tmpl w:val="F8B4B250"/>
    <w:lvl w:ilvl="0">
      <w:start w:val="1"/>
      <w:numFmt w:val="decimal"/>
      <w:lvlText w:val="%1."/>
      <w:lvlJc w:val="left"/>
      <w:pPr>
        <w:tabs>
          <w:tab w:val="num" w:pos="926"/>
        </w:tabs>
        <w:ind w:left="926" w:hanging="360"/>
      </w:pPr>
    </w:lvl>
  </w:abstractNum>
  <w:abstractNum w:abstractNumId="8">
    <w:nsid w:val="FFFFFF7F"/>
    <w:multiLevelType w:val="singleLevel"/>
    <w:tmpl w:val="89D4F3D6"/>
    <w:lvl w:ilvl="0">
      <w:start w:val="1"/>
      <w:numFmt w:val="decimal"/>
      <w:lvlText w:val="%1."/>
      <w:lvlJc w:val="left"/>
      <w:pPr>
        <w:tabs>
          <w:tab w:val="num" w:pos="643"/>
        </w:tabs>
        <w:ind w:left="643" w:hanging="360"/>
      </w:pPr>
    </w:lvl>
  </w:abstractNum>
  <w:abstractNum w:abstractNumId="9">
    <w:nsid w:val="FFFFFF80"/>
    <w:multiLevelType w:val="singleLevel"/>
    <w:tmpl w:val="59ACA018"/>
    <w:lvl w:ilvl="0">
      <w:start w:val="1"/>
      <w:numFmt w:val="bullet"/>
      <w:lvlText w:val=""/>
      <w:lvlJc w:val="left"/>
      <w:pPr>
        <w:tabs>
          <w:tab w:val="num" w:pos="1492"/>
        </w:tabs>
        <w:ind w:left="1492" w:hanging="360"/>
      </w:pPr>
      <w:rPr>
        <w:rFonts w:ascii="Symbol" w:hAnsi="Symbol" w:hint="default"/>
      </w:rPr>
    </w:lvl>
  </w:abstractNum>
  <w:abstractNum w:abstractNumId="10">
    <w:nsid w:val="FFFFFF81"/>
    <w:multiLevelType w:val="singleLevel"/>
    <w:tmpl w:val="9F1EF212"/>
    <w:lvl w:ilvl="0">
      <w:start w:val="1"/>
      <w:numFmt w:val="bullet"/>
      <w:lvlText w:val=""/>
      <w:lvlJc w:val="left"/>
      <w:pPr>
        <w:tabs>
          <w:tab w:val="num" w:pos="1209"/>
        </w:tabs>
        <w:ind w:left="1209" w:hanging="360"/>
      </w:pPr>
      <w:rPr>
        <w:rFonts w:ascii="Symbol" w:hAnsi="Symbol" w:hint="default"/>
      </w:rPr>
    </w:lvl>
  </w:abstractNum>
  <w:abstractNum w:abstractNumId="11">
    <w:nsid w:val="FFFFFF82"/>
    <w:multiLevelType w:val="singleLevel"/>
    <w:tmpl w:val="EC8A2214"/>
    <w:lvl w:ilvl="0">
      <w:start w:val="1"/>
      <w:numFmt w:val="bullet"/>
      <w:lvlText w:val=""/>
      <w:lvlJc w:val="left"/>
      <w:pPr>
        <w:tabs>
          <w:tab w:val="num" w:pos="926"/>
        </w:tabs>
        <w:ind w:left="926" w:hanging="360"/>
      </w:pPr>
      <w:rPr>
        <w:rFonts w:ascii="Symbol" w:hAnsi="Symbol" w:hint="default"/>
      </w:rPr>
    </w:lvl>
  </w:abstractNum>
  <w:abstractNum w:abstractNumId="12">
    <w:nsid w:val="FFFFFF83"/>
    <w:multiLevelType w:val="singleLevel"/>
    <w:tmpl w:val="09EC152C"/>
    <w:lvl w:ilvl="0">
      <w:start w:val="1"/>
      <w:numFmt w:val="bullet"/>
      <w:lvlText w:val=""/>
      <w:lvlJc w:val="left"/>
      <w:pPr>
        <w:tabs>
          <w:tab w:val="num" w:pos="643"/>
        </w:tabs>
        <w:ind w:left="643" w:hanging="360"/>
      </w:pPr>
      <w:rPr>
        <w:rFonts w:ascii="Symbol" w:hAnsi="Symbol" w:hint="default"/>
      </w:rPr>
    </w:lvl>
  </w:abstractNum>
  <w:abstractNum w:abstractNumId="13">
    <w:nsid w:val="FFFFFF88"/>
    <w:multiLevelType w:val="singleLevel"/>
    <w:tmpl w:val="3B12AD9A"/>
    <w:lvl w:ilvl="0">
      <w:start w:val="1"/>
      <w:numFmt w:val="decimal"/>
      <w:lvlText w:val="%1."/>
      <w:lvlJc w:val="left"/>
      <w:pPr>
        <w:tabs>
          <w:tab w:val="num" w:pos="360"/>
        </w:tabs>
        <w:ind w:left="360" w:hanging="360"/>
      </w:pPr>
    </w:lvl>
  </w:abstractNum>
  <w:abstractNum w:abstractNumId="14">
    <w:nsid w:val="FFFFFF89"/>
    <w:multiLevelType w:val="singleLevel"/>
    <w:tmpl w:val="F15A9B94"/>
    <w:lvl w:ilvl="0">
      <w:start w:val="1"/>
      <w:numFmt w:val="bullet"/>
      <w:lvlText w:val=""/>
      <w:lvlJc w:val="left"/>
      <w:pPr>
        <w:tabs>
          <w:tab w:val="num" w:pos="360"/>
        </w:tabs>
        <w:ind w:left="360" w:hanging="360"/>
      </w:pPr>
      <w:rPr>
        <w:rFonts w:ascii="Symbol" w:hAnsi="Symbol" w:hint="default"/>
      </w:rPr>
    </w:lvl>
  </w:abstractNum>
  <w:abstractNum w:abstractNumId="15">
    <w:nsid w:val="0B7B197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674FFEA"/>
    <w:multiLevelType w:val="multilevel"/>
    <w:tmpl w:val="CFF4839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2C4AEC46"/>
    <w:multiLevelType w:val="multilevel"/>
    <w:tmpl w:val="AE72CC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nsid w:val="4B4D1DF7"/>
    <w:multiLevelType w:val="multilevel"/>
    <w:tmpl w:val="0DFCE2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nsid w:val="70336972"/>
    <w:multiLevelType w:val="multilevel"/>
    <w:tmpl w:val="C92AF1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e98a096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5"/>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7"/>
  </w:num>
  <w:num w:numId="10">
    <w:abstractNumId w:val="16"/>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18"/>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14"/>
  </w:num>
  <w:num w:numId="26">
    <w:abstractNumId w:val="12"/>
  </w:num>
  <w:num w:numId="27">
    <w:abstractNumId w:val="11"/>
  </w:num>
  <w:num w:numId="28">
    <w:abstractNumId w:val="10"/>
  </w:num>
  <w:num w:numId="29">
    <w:abstractNumId w:val="9"/>
  </w:num>
  <w:num w:numId="30">
    <w:abstractNumId w:val="13"/>
  </w:num>
  <w:num w:numId="31">
    <w:abstractNumId w:val="8"/>
  </w:num>
  <w:num w:numId="32">
    <w:abstractNumId w:val="7"/>
  </w:num>
  <w:num w:numId="33">
    <w:abstractNumId w:val="6"/>
  </w:num>
  <w:num w:numId="34">
    <w:abstractNumId w:val="5"/>
  </w:num>
  <w:num w:numId="35">
    <w:abstractNumId w:val="1"/>
  </w:num>
  <w:num w:numId="36">
    <w:abstractNumId w:val="19"/>
  </w:num>
  <w:num w:numId="37">
    <w:abstractNumId w:val="19"/>
  </w:num>
  <w:num w:numId="38">
    <w:abstractNumId w:val="19"/>
  </w:num>
  <w:num w:numId="39">
    <w:abstractNumId w:val="19"/>
  </w:num>
  <w:num w:numId="40">
    <w:abstractNumId w:val="19"/>
  </w:num>
  <w:num w:numId="41">
    <w:abstractNumId w:val="19"/>
  </w:num>
  <w:num w:numId="42">
    <w:abstractNumId w:val="19"/>
  </w:num>
  <w:num w:numId="43">
    <w:abstractNumId w:val="4"/>
  </w:num>
  <w:num w:numId="44">
    <w:abstractNumId w:val="2"/>
  </w:num>
  <w:num w:numId="45">
    <w:abstractNumId w:val="2"/>
  </w:num>
  <w:num w:numId="46">
    <w:abstractNumId w:val="2"/>
  </w:num>
  <w:num w:numId="47">
    <w:abstractNumId w:val="2"/>
  </w:num>
  <w:num w:numId="48">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footer"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nhideWhenUsed="0"/>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9A7FBA"/>
    <w:pPr>
      <w:spacing w:line="264" w:lineRule="auto"/>
      <w:jc w:val="both"/>
    </w:pPr>
    <w:rPr>
      <w:rFonts w:ascii="Times New Roman" w:hAnsi="Times New Roman"/>
    </w:rPr>
  </w:style>
  <w:style w:type="paragraph" w:styleId="Heading1">
    <w:name w:val="heading 1"/>
    <w:basedOn w:val="Normal"/>
    <w:next w:val="BodyText"/>
    <w:uiPriority w:val="9"/>
    <w:qFormat/>
    <w:rsid w:val="00527F7C"/>
    <w:pPr>
      <w:keepNext/>
      <w:keepLines/>
      <w:numPr>
        <w:numId w:val="1"/>
      </w:numPr>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652835"/>
    <w:pPr>
      <w:keepNext/>
      <w:keepLines/>
      <w:numPr>
        <w:ilvl w:val="1"/>
        <w:numId w:val="1"/>
      </w:numPr>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C43DEB"/>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922224"/>
    <w:pPr>
      <w:keepNext/>
      <w:keepLines/>
      <w:spacing w:after="0" w:line="240" w:lineRule="auto"/>
      <w:jc w:val="left"/>
      <w:outlineLvl w:val="4"/>
    </w:pPr>
    <w:rPr>
      <w:rFonts w:eastAsiaTheme="majorEastAsia" w:cstheme="majorBidi"/>
      <w:iCs/>
      <w:color w:val="000000" w:themeColor="text1"/>
      <w:sz w:val="16"/>
    </w:rPr>
  </w:style>
  <w:style w:type="paragraph" w:styleId="Heading6">
    <w:name w:val="heading 6"/>
    <w:basedOn w:val="Heading5"/>
    <w:next w:val="BodyText"/>
    <w:uiPriority w:val="9"/>
    <w:unhideWhenUsed/>
    <w:qFormat/>
    <w:rsid w:val="003F1744"/>
    <w:pPr>
      <w:keepNext w:val="0"/>
      <w:keepLines w:val="0"/>
      <w:pageBreakBefore/>
      <w:widowControl w:val="0"/>
      <w:numPr>
        <w:ilvl w:val="5"/>
        <w:numId w:val="1"/>
      </w:numPr>
      <w:spacing w:line="20" w:lineRule="exact"/>
      <w:ind w:left="1151" w:hanging="1151"/>
      <w:outlineLvl w:val="5"/>
    </w:pPr>
    <w:rPr>
      <w:rFonts w:asciiTheme="majorHAnsi" w:hAnsiTheme="majorHAnsi"/>
      <w:color w:val="FFFFFF" w:themeColor="background1"/>
    </w:rPr>
  </w:style>
  <w:style w:type="paragraph" w:styleId="Heading7">
    <w:name w:val="heading 7"/>
    <w:basedOn w:val="Normal"/>
    <w:next w:val="Normal"/>
    <w:link w:val="Heading7Char"/>
    <w:rsid w:val="00FD31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FD31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FD31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C3F01"/>
    <w:pPr>
      <w:spacing w:before="180" w:after="180"/>
    </w:pPr>
  </w:style>
  <w:style w:type="paragraph" w:customStyle="1" w:styleId="FirstParagraph">
    <w:name w:val="First Paragraph"/>
    <w:basedOn w:val="BodyText"/>
    <w:next w:val="BodyText"/>
    <w:qFormat/>
    <w:rsid w:val="00613EBA"/>
  </w:style>
  <w:style w:type="paragraph" w:customStyle="1" w:styleId="Compact">
    <w:name w:val="Compact"/>
    <w:basedOn w:val="BodyText"/>
    <w:qFormat/>
    <w:rsid w:val="00DE207A"/>
    <w:pPr>
      <w:spacing w:before="36" w:after="36"/>
      <w:jc w:val="left"/>
    </w:pPr>
    <w:rPr>
      <w:sz w:val="20"/>
    </w:rPr>
  </w:style>
  <w:style w:type="paragraph" w:styleId="Title">
    <w:name w:val="Title"/>
    <w:basedOn w:val="Normal"/>
    <w:next w:val="BodyText"/>
    <w:qFormat/>
    <w:rsid w:val="00652835"/>
    <w:pPr>
      <w:keepNext/>
      <w:keepLines/>
      <w:spacing w:before="480" w:after="240"/>
      <w:jc w:val="center"/>
    </w:pPr>
    <w:rPr>
      <w:rFonts w:eastAsiaTheme="majorEastAsia" w:cstheme="majorBidi"/>
      <w:b/>
      <w:bCs/>
      <w:color w:val="000000" w:themeColor="text1"/>
      <w:sz w:val="36"/>
      <w:szCs w:val="36"/>
      <w:lang w:val="nl-NL"/>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52835"/>
    <w:pPr>
      <w:keepNext/>
      <w:keepLines/>
      <w:jc w:val="center"/>
    </w:pPr>
    <w:rPr>
      <w:rFonts w:ascii="Times New Roman" w:hAnsi="Times New Roman"/>
      <w:lang w:val="nl-NL"/>
    </w:rPr>
  </w:style>
  <w:style w:type="paragraph" w:styleId="Date">
    <w:name w:val="Date"/>
    <w:next w:val="BodyText"/>
    <w:qFormat/>
    <w:rsid w:val="00652835"/>
    <w:pPr>
      <w:keepNext/>
      <w:keepLines/>
      <w:jc w:val="center"/>
    </w:pPr>
    <w:rPr>
      <w:rFonts w:ascii="Times New Roman" w:hAnsi="Times New Roman"/>
      <w:lang w:val="nl-NL"/>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AC3F01"/>
    <w:pPr>
      <w:spacing w:after="0" w:line="240" w:lineRule="auto"/>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DF586E"/>
    <w:pPr>
      <w:keepNext/>
    </w:pPr>
    <w:rPr>
      <w:b/>
      <w:i w:val="0"/>
    </w:r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D5478D"/>
    <w:rPr>
      <w:rFonts w:ascii="Times New Roman" w:hAnsi="Times New Roman"/>
      <w:b/>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D5478D"/>
    <w:pPr>
      <w:shd w:val="clear" w:color="auto" w:fill="F8F8F8"/>
      <w:wordWrap w:val="0"/>
      <w:spacing w:line="240" w:lineRule="auto"/>
      <w:jc w:val="left"/>
    </w:pPr>
    <w:rPr>
      <w:b/>
    </w:rPr>
  </w:style>
  <w:style w:type="character" w:customStyle="1" w:styleId="KeywordTok">
    <w:name w:val="KeywordTok"/>
    <w:basedOn w:val="VerbatimChar"/>
    <w:rPr>
      <w:rFonts w:ascii="Consolas" w:hAnsi="Consolas"/>
      <w:b w:val="0"/>
      <w:color w:val="204A87"/>
      <w:sz w:val="22"/>
      <w:shd w:val="clear" w:color="auto" w:fill="F8F8F8"/>
    </w:rPr>
  </w:style>
  <w:style w:type="character" w:customStyle="1" w:styleId="DataTypeTok">
    <w:name w:val="DataTypeTok"/>
    <w:basedOn w:val="VerbatimChar"/>
    <w:rPr>
      <w:rFonts w:ascii="Consolas" w:hAnsi="Consolas"/>
      <w:b/>
      <w:color w:val="204A87"/>
      <w:sz w:val="22"/>
      <w:shd w:val="clear" w:color="auto" w:fill="F8F8F8"/>
    </w:rPr>
  </w:style>
  <w:style w:type="character" w:customStyle="1" w:styleId="DecValTok">
    <w:name w:val="DecValTok"/>
    <w:basedOn w:val="VerbatimChar"/>
    <w:rPr>
      <w:rFonts w:ascii="Consolas" w:hAnsi="Consolas"/>
      <w:b/>
      <w:color w:val="0000CF"/>
      <w:sz w:val="22"/>
      <w:shd w:val="clear" w:color="auto" w:fill="F8F8F8"/>
    </w:rPr>
  </w:style>
  <w:style w:type="character" w:customStyle="1" w:styleId="BaseNTok">
    <w:name w:val="BaseNTok"/>
    <w:basedOn w:val="VerbatimChar"/>
    <w:rPr>
      <w:rFonts w:ascii="Consolas" w:hAnsi="Consolas"/>
      <w:b/>
      <w:color w:val="0000CF"/>
      <w:sz w:val="22"/>
      <w:shd w:val="clear" w:color="auto" w:fill="F8F8F8"/>
    </w:rPr>
  </w:style>
  <w:style w:type="character" w:customStyle="1" w:styleId="FloatTok">
    <w:name w:val="FloatTok"/>
    <w:basedOn w:val="VerbatimChar"/>
    <w:rPr>
      <w:rFonts w:ascii="Consolas" w:hAnsi="Consolas"/>
      <w:b/>
      <w:color w:val="0000CF"/>
      <w:sz w:val="22"/>
      <w:shd w:val="clear" w:color="auto" w:fill="F8F8F8"/>
    </w:rPr>
  </w:style>
  <w:style w:type="character" w:customStyle="1" w:styleId="ConstantTok">
    <w:name w:val="ConstantTok"/>
    <w:basedOn w:val="VerbatimChar"/>
    <w:rPr>
      <w:rFonts w:ascii="Consolas" w:hAnsi="Consolas"/>
      <w:b/>
      <w:color w:val="000000"/>
      <w:sz w:val="22"/>
      <w:shd w:val="clear" w:color="auto" w:fill="F8F8F8"/>
    </w:rPr>
  </w:style>
  <w:style w:type="character" w:customStyle="1" w:styleId="CharTok">
    <w:name w:val="CharTok"/>
    <w:basedOn w:val="VerbatimChar"/>
    <w:rPr>
      <w:rFonts w:ascii="Consolas" w:hAnsi="Consolas"/>
      <w:b/>
      <w:color w:val="4E9A06"/>
      <w:sz w:val="22"/>
      <w:shd w:val="clear" w:color="auto" w:fill="F8F8F8"/>
    </w:rPr>
  </w:style>
  <w:style w:type="character" w:customStyle="1" w:styleId="SpecialCharTok">
    <w:name w:val="SpecialCharTok"/>
    <w:basedOn w:val="VerbatimChar"/>
    <w:rPr>
      <w:rFonts w:ascii="Consolas" w:hAnsi="Consolas"/>
      <w:b/>
      <w:color w:val="000000"/>
      <w:sz w:val="22"/>
      <w:shd w:val="clear" w:color="auto" w:fill="F8F8F8"/>
    </w:rPr>
  </w:style>
  <w:style w:type="character" w:customStyle="1" w:styleId="StringTok">
    <w:name w:val="StringTok"/>
    <w:basedOn w:val="VerbatimChar"/>
    <w:rPr>
      <w:rFonts w:ascii="Consolas" w:hAnsi="Consolas"/>
      <w:b/>
      <w:color w:val="4E9A06"/>
      <w:sz w:val="22"/>
      <w:shd w:val="clear" w:color="auto" w:fill="F8F8F8"/>
    </w:rPr>
  </w:style>
  <w:style w:type="character" w:customStyle="1" w:styleId="VerbatimStringTok">
    <w:name w:val="VerbatimStringTok"/>
    <w:basedOn w:val="VerbatimChar"/>
    <w:rPr>
      <w:rFonts w:ascii="Consolas" w:hAnsi="Consolas"/>
      <w:b/>
      <w:color w:val="4E9A06"/>
      <w:sz w:val="22"/>
      <w:shd w:val="clear" w:color="auto" w:fill="F8F8F8"/>
    </w:rPr>
  </w:style>
  <w:style w:type="character" w:customStyle="1" w:styleId="SpecialStringTok">
    <w:name w:val="SpecialStringTok"/>
    <w:basedOn w:val="VerbatimChar"/>
    <w:rPr>
      <w:rFonts w:ascii="Consolas" w:hAnsi="Consolas"/>
      <w:b/>
      <w:color w:val="4E9A06"/>
      <w:sz w:val="22"/>
      <w:shd w:val="clear" w:color="auto" w:fill="F8F8F8"/>
    </w:rPr>
  </w:style>
  <w:style w:type="character" w:customStyle="1" w:styleId="ImportTok">
    <w:name w:val="ImportTok"/>
    <w:basedOn w:val="VerbatimChar"/>
    <w:rPr>
      <w:rFonts w:ascii="Consolas" w:hAnsi="Consolas"/>
      <w:b/>
      <w:sz w:val="22"/>
      <w:shd w:val="clear" w:color="auto" w:fill="F8F8F8"/>
    </w:rPr>
  </w:style>
  <w:style w:type="character" w:customStyle="1" w:styleId="CommentTok">
    <w:name w:val="CommentTok"/>
    <w:basedOn w:val="VerbatimChar"/>
    <w:rPr>
      <w:rFonts w:ascii="Consolas" w:hAnsi="Consolas"/>
      <w:b/>
      <w:i/>
      <w:color w:val="8F5902"/>
      <w:sz w:val="22"/>
      <w:shd w:val="clear" w:color="auto" w:fill="F8F8F8"/>
    </w:rPr>
  </w:style>
  <w:style w:type="character" w:customStyle="1" w:styleId="DocumentationTok">
    <w:name w:val="DocumentationTok"/>
    <w:basedOn w:val="VerbatimChar"/>
    <w:rPr>
      <w:rFonts w:ascii="Consolas" w:hAnsi="Consolas"/>
      <w:b w:val="0"/>
      <w:i/>
      <w:color w:val="8F5902"/>
      <w:sz w:val="22"/>
      <w:shd w:val="clear" w:color="auto" w:fill="F8F8F8"/>
    </w:rPr>
  </w:style>
  <w:style w:type="character" w:customStyle="1" w:styleId="AnnotationTok">
    <w:name w:val="AnnotationTok"/>
    <w:basedOn w:val="VerbatimChar"/>
    <w:rPr>
      <w:rFonts w:ascii="Consolas" w:hAnsi="Consolas"/>
      <w:b w:val="0"/>
      <w:i/>
      <w:color w:val="8F5902"/>
      <w:sz w:val="22"/>
      <w:shd w:val="clear" w:color="auto" w:fill="F8F8F8"/>
    </w:rPr>
  </w:style>
  <w:style w:type="character" w:customStyle="1" w:styleId="CommentVarTok">
    <w:name w:val="CommentVarTok"/>
    <w:basedOn w:val="VerbatimChar"/>
    <w:rPr>
      <w:rFonts w:ascii="Consolas" w:hAnsi="Consolas"/>
      <w:b w:val="0"/>
      <w:i/>
      <w:color w:val="8F5902"/>
      <w:sz w:val="22"/>
      <w:shd w:val="clear" w:color="auto" w:fill="F8F8F8"/>
    </w:rPr>
  </w:style>
  <w:style w:type="character" w:customStyle="1" w:styleId="OtherTok">
    <w:name w:val="OtherTok"/>
    <w:basedOn w:val="VerbatimChar"/>
    <w:rPr>
      <w:rFonts w:ascii="Consolas" w:hAnsi="Consolas"/>
      <w:b/>
      <w:color w:val="8F5902"/>
      <w:sz w:val="22"/>
      <w:shd w:val="clear" w:color="auto" w:fill="F8F8F8"/>
    </w:rPr>
  </w:style>
  <w:style w:type="character" w:customStyle="1" w:styleId="FunctionTok">
    <w:name w:val="FunctionTok"/>
    <w:basedOn w:val="VerbatimChar"/>
    <w:rPr>
      <w:rFonts w:ascii="Consolas" w:hAnsi="Consolas"/>
      <w:b/>
      <w:color w:val="000000"/>
      <w:sz w:val="22"/>
      <w:shd w:val="clear" w:color="auto" w:fill="F8F8F8"/>
    </w:rPr>
  </w:style>
  <w:style w:type="character" w:customStyle="1" w:styleId="VariableTok">
    <w:name w:val="VariableTok"/>
    <w:basedOn w:val="VerbatimChar"/>
    <w:rPr>
      <w:rFonts w:ascii="Consolas" w:hAnsi="Consolas"/>
      <w:b/>
      <w:color w:val="000000"/>
      <w:sz w:val="22"/>
      <w:shd w:val="clear" w:color="auto" w:fill="F8F8F8"/>
    </w:rPr>
  </w:style>
  <w:style w:type="character" w:customStyle="1" w:styleId="ControlFlowTok">
    <w:name w:val="ControlFlowTok"/>
    <w:basedOn w:val="VerbatimChar"/>
    <w:rPr>
      <w:rFonts w:ascii="Consolas" w:hAnsi="Consolas"/>
      <w:b w:val="0"/>
      <w:color w:val="204A87"/>
      <w:sz w:val="22"/>
      <w:shd w:val="clear" w:color="auto" w:fill="F8F8F8"/>
    </w:rPr>
  </w:style>
  <w:style w:type="character" w:customStyle="1" w:styleId="OperatorTok">
    <w:name w:val="OperatorTok"/>
    <w:basedOn w:val="VerbatimChar"/>
    <w:rPr>
      <w:rFonts w:ascii="Consolas" w:hAnsi="Consolas"/>
      <w:b w:val="0"/>
      <w:color w:val="CE5C00"/>
      <w:sz w:val="22"/>
      <w:shd w:val="clear" w:color="auto" w:fill="F8F8F8"/>
    </w:rPr>
  </w:style>
  <w:style w:type="character" w:customStyle="1" w:styleId="BuiltInTok">
    <w:name w:val="BuiltInTok"/>
    <w:basedOn w:val="VerbatimChar"/>
    <w:rPr>
      <w:rFonts w:ascii="Consolas" w:hAnsi="Consolas"/>
      <w:b/>
      <w:sz w:val="22"/>
      <w:shd w:val="clear" w:color="auto" w:fill="F8F8F8"/>
    </w:rPr>
  </w:style>
  <w:style w:type="character" w:customStyle="1" w:styleId="ExtensionTok">
    <w:name w:val="ExtensionTok"/>
    <w:basedOn w:val="VerbatimChar"/>
    <w:rPr>
      <w:rFonts w:ascii="Consolas" w:hAnsi="Consolas"/>
      <w:b/>
      <w:sz w:val="22"/>
      <w:shd w:val="clear" w:color="auto" w:fill="F8F8F8"/>
    </w:rPr>
  </w:style>
  <w:style w:type="character" w:customStyle="1" w:styleId="PreprocessorTok">
    <w:name w:val="PreprocessorTok"/>
    <w:basedOn w:val="VerbatimChar"/>
    <w:rPr>
      <w:rFonts w:ascii="Consolas" w:hAnsi="Consolas"/>
      <w:b/>
      <w:i/>
      <w:color w:val="8F5902"/>
      <w:sz w:val="22"/>
      <w:shd w:val="clear" w:color="auto" w:fill="F8F8F8"/>
    </w:rPr>
  </w:style>
  <w:style w:type="character" w:customStyle="1" w:styleId="AttributeTok">
    <w:name w:val="AttributeTok"/>
    <w:basedOn w:val="VerbatimChar"/>
    <w:rPr>
      <w:rFonts w:ascii="Consolas" w:hAnsi="Consolas"/>
      <w:b/>
      <w:color w:val="C4A000"/>
      <w:sz w:val="22"/>
      <w:shd w:val="clear" w:color="auto" w:fill="F8F8F8"/>
    </w:rPr>
  </w:style>
  <w:style w:type="character" w:customStyle="1" w:styleId="RegionMarkerTok">
    <w:name w:val="RegionMarkerTok"/>
    <w:basedOn w:val="VerbatimChar"/>
    <w:rPr>
      <w:rFonts w:ascii="Consolas" w:hAnsi="Consolas"/>
      <w:b/>
      <w:sz w:val="22"/>
      <w:shd w:val="clear" w:color="auto" w:fill="F8F8F8"/>
    </w:rPr>
  </w:style>
  <w:style w:type="character" w:customStyle="1" w:styleId="InformationTok">
    <w:name w:val="InformationTok"/>
    <w:basedOn w:val="VerbatimChar"/>
    <w:rPr>
      <w:rFonts w:ascii="Consolas" w:hAnsi="Consolas"/>
      <w:b w:val="0"/>
      <w:i/>
      <w:color w:val="8F5902"/>
      <w:sz w:val="22"/>
      <w:shd w:val="clear" w:color="auto" w:fill="F8F8F8"/>
    </w:rPr>
  </w:style>
  <w:style w:type="character" w:customStyle="1" w:styleId="WarningTok">
    <w:name w:val="WarningTok"/>
    <w:basedOn w:val="VerbatimChar"/>
    <w:rPr>
      <w:rFonts w:ascii="Consolas" w:hAnsi="Consolas"/>
      <w:b w:val="0"/>
      <w:i/>
      <w:color w:val="8F5902"/>
      <w:sz w:val="22"/>
      <w:shd w:val="clear" w:color="auto" w:fill="F8F8F8"/>
    </w:rPr>
  </w:style>
  <w:style w:type="character" w:customStyle="1" w:styleId="AlertTok">
    <w:name w:val="AlertTok"/>
    <w:basedOn w:val="VerbatimChar"/>
    <w:rPr>
      <w:rFonts w:ascii="Consolas" w:hAnsi="Consolas"/>
      <w:b/>
      <w:color w:val="EF2929"/>
      <w:sz w:val="22"/>
      <w:shd w:val="clear" w:color="auto" w:fill="F8F8F8"/>
    </w:rPr>
  </w:style>
  <w:style w:type="character" w:customStyle="1" w:styleId="ErrorTok">
    <w:name w:val="ErrorTok"/>
    <w:basedOn w:val="VerbatimChar"/>
    <w:rPr>
      <w:rFonts w:ascii="Consolas" w:hAnsi="Consolas"/>
      <w:b w:val="0"/>
      <w:color w:val="A40000"/>
      <w:sz w:val="22"/>
      <w:shd w:val="clear" w:color="auto" w:fill="F8F8F8"/>
    </w:rPr>
  </w:style>
  <w:style w:type="character" w:customStyle="1" w:styleId="NormalTok">
    <w:name w:val="NormalTok"/>
    <w:basedOn w:val="VerbatimChar"/>
    <w:rPr>
      <w:rFonts w:ascii="Consolas" w:hAnsi="Consolas"/>
      <w:b/>
      <w:sz w:val="22"/>
      <w:shd w:val="clear" w:color="auto" w:fill="F8F8F8"/>
    </w:rPr>
  </w:style>
  <w:style w:type="character" w:customStyle="1" w:styleId="BodyTextChar">
    <w:name w:val="Body Text Char"/>
    <w:basedOn w:val="DefaultParagraphFont"/>
    <w:link w:val="BodyText"/>
    <w:rsid w:val="00AC3F01"/>
    <w:rPr>
      <w:rFonts w:ascii="Times New Roman" w:hAnsi="Times New Roman"/>
    </w:rPr>
  </w:style>
  <w:style w:type="character" w:customStyle="1" w:styleId="Heading7Char">
    <w:name w:val="Heading 7 Char"/>
    <w:basedOn w:val="DefaultParagraphFont"/>
    <w:link w:val="Heading7"/>
    <w:rsid w:val="00FD31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FD31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FD31C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46739F"/>
    <w:pPr>
      <w:tabs>
        <w:tab w:val="center" w:pos="4680"/>
        <w:tab w:val="right" w:pos="9360"/>
      </w:tabs>
      <w:spacing w:after="0"/>
    </w:pPr>
  </w:style>
  <w:style w:type="character" w:customStyle="1" w:styleId="HeaderChar">
    <w:name w:val="Header Char"/>
    <w:basedOn w:val="DefaultParagraphFont"/>
    <w:link w:val="Header"/>
    <w:rsid w:val="0046739F"/>
  </w:style>
  <w:style w:type="paragraph" w:styleId="Footer">
    <w:name w:val="footer"/>
    <w:basedOn w:val="Normal"/>
    <w:link w:val="FooterChar"/>
    <w:uiPriority w:val="99"/>
    <w:unhideWhenUsed/>
    <w:rsid w:val="0046739F"/>
    <w:pPr>
      <w:tabs>
        <w:tab w:val="center" w:pos="4680"/>
        <w:tab w:val="right" w:pos="9360"/>
      </w:tabs>
      <w:spacing w:after="0"/>
    </w:pPr>
  </w:style>
  <w:style w:type="character" w:customStyle="1" w:styleId="FooterChar">
    <w:name w:val="Footer Char"/>
    <w:basedOn w:val="DefaultParagraphFont"/>
    <w:link w:val="Footer"/>
    <w:uiPriority w:val="99"/>
    <w:rsid w:val="0046739F"/>
  </w:style>
  <w:style w:type="paragraph" w:styleId="BalloonText">
    <w:name w:val="Balloon Text"/>
    <w:basedOn w:val="Normal"/>
    <w:link w:val="BalloonTextChar"/>
    <w:semiHidden/>
    <w:unhideWhenUsed/>
    <w:rsid w:val="00AC3F01"/>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AC3F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hyperlink" Id="rId34" Target="https://doi.org/10.1007/s11123-006-0025-3" TargetMode="External" /><Relationship Type="http://schemas.openxmlformats.org/officeDocument/2006/relationships/hyperlink" Id="rId33" Target="https://doi.org/10.1016/S0264-8377(03)00047-4" TargetMode="External" /><Relationship Type="http://schemas.openxmlformats.org/officeDocument/2006/relationships/hyperlink" Id="rId46" Target="https://doi.org/10.1016/S0378-4290(97)00037-3" TargetMode="External" /><Relationship Type="http://schemas.openxmlformats.org/officeDocument/2006/relationships/hyperlink" Id="rId44" Target="https://doi.org/10.1016/j.agsy.2010.02.004" TargetMode="External" /><Relationship Type="http://schemas.openxmlformats.org/officeDocument/2006/relationships/hyperlink" Id="rId41" Target="https://doi.org/10.1016/j.eja.2011.08.005" TargetMode="External" /><Relationship Type="http://schemas.openxmlformats.org/officeDocument/2006/relationships/hyperlink" Id="rId40" Target="https://doi.org/10.1016/j.fcr.2012.09.009" TargetMode="External" /><Relationship Type="http://schemas.openxmlformats.org/officeDocument/2006/relationships/hyperlink" Id="rId37" Target="https://doi.org/10.1016/j.fcr.2014.12.006" TargetMode="External" /><Relationship Type="http://schemas.openxmlformats.org/officeDocument/2006/relationships/hyperlink" Id="rId39" Target="https://doi.org/10.1016/j.fcr.2015.03.004" TargetMode="External" /><Relationship Type="http://schemas.openxmlformats.org/officeDocument/2006/relationships/hyperlink" Id="rId45" Target="https://doi.org/10.1016/j.worlddev.2014.07.005" TargetMode="External" /><Relationship Type="http://schemas.openxmlformats.org/officeDocument/2006/relationships/hyperlink" Id="rId43" Target="https://doi.org/10.1038/nature11420" TargetMode="External" /><Relationship Type="http://schemas.openxmlformats.org/officeDocument/2006/relationships/hyperlink" Id="rId38" Target="https://doi.org/10.1093/erae/jbv034" TargetMode="External" /><Relationship Type="http://schemas.openxmlformats.org/officeDocument/2006/relationships/hyperlink" Id="rId35" Target="https://doi.org/10.1111/j.1574-0862.2011.00567.x" TargetMode="External" /><Relationship Type="http://schemas.openxmlformats.org/officeDocument/2006/relationships/hyperlink" Id="rId42" Target="https://doi.org/10.1596/978-0-8213-6880-0" TargetMode="External" /><Relationship Type="http://schemas.openxmlformats.org/officeDocument/2006/relationships/hyperlink" Id="rId36" Target="https://doi.org/10.2135/cropsci1999.3961544x" TargetMode="External" /></Relationships>
</file>

<file path=word/_rels/footnotes.xml.rels><?xml version="1.0" encoding="UTF-8"?>
<Relationships xmlns="http://schemas.openxmlformats.org/package/2006/relationships"><Relationship Type="http://schemas.openxmlformats.org/officeDocument/2006/relationships/hyperlink" Id="rId34" Target="https://doi.org/10.1007/s11123-006-0025-3" TargetMode="External" /><Relationship Type="http://schemas.openxmlformats.org/officeDocument/2006/relationships/hyperlink" Id="rId33" Target="https://doi.org/10.1016/S0264-8377(03)00047-4" TargetMode="External" /><Relationship Type="http://schemas.openxmlformats.org/officeDocument/2006/relationships/hyperlink" Id="rId46" Target="https://doi.org/10.1016/S0378-4290(97)00037-3" TargetMode="External" /><Relationship Type="http://schemas.openxmlformats.org/officeDocument/2006/relationships/hyperlink" Id="rId44" Target="https://doi.org/10.1016/j.agsy.2010.02.004" TargetMode="External" /><Relationship Type="http://schemas.openxmlformats.org/officeDocument/2006/relationships/hyperlink" Id="rId41" Target="https://doi.org/10.1016/j.eja.2011.08.005" TargetMode="External" /><Relationship Type="http://schemas.openxmlformats.org/officeDocument/2006/relationships/hyperlink" Id="rId40" Target="https://doi.org/10.1016/j.fcr.2012.09.009" TargetMode="External" /><Relationship Type="http://schemas.openxmlformats.org/officeDocument/2006/relationships/hyperlink" Id="rId37" Target="https://doi.org/10.1016/j.fcr.2014.12.006" TargetMode="External" /><Relationship Type="http://schemas.openxmlformats.org/officeDocument/2006/relationships/hyperlink" Id="rId39" Target="https://doi.org/10.1016/j.fcr.2015.03.004" TargetMode="External" /><Relationship Type="http://schemas.openxmlformats.org/officeDocument/2006/relationships/hyperlink" Id="rId45" Target="https://doi.org/10.1016/j.worlddev.2014.07.005" TargetMode="External" /><Relationship Type="http://schemas.openxmlformats.org/officeDocument/2006/relationships/hyperlink" Id="rId43" Target="https://doi.org/10.1038/nature11420" TargetMode="External" /><Relationship Type="http://schemas.openxmlformats.org/officeDocument/2006/relationships/hyperlink" Id="rId38" Target="https://doi.org/10.1093/erae/jbv034" TargetMode="External" /><Relationship Type="http://schemas.openxmlformats.org/officeDocument/2006/relationships/hyperlink" Id="rId35" Target="https://doi.org/10.1111/j.1574-0862.2011.00567.x" TargetMode="External" /><Relationship Type="http://schemas.openxmlformats.org/officeDocument/2006/relationships/hyperlink" Id="rId42" Target="https://doi.org/10.1596/978-0-8213-6880-0" TargetMode="External" /><Relationship Type="http://schemas.openxmlformats.org/officeDocument/2006/relationships/hyperlink" Id="rId36" Target="https://doi.org/10.2135/cropsci1999.3961544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7212</Words>
  <Characters>41111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Decomposing economic and technology yield gaps in Nigeria</vt:lpstr>
    </vt:vector>
  </TitlesOfParts>
  <Company>Wageningen UR</Company>
  <LinksUpToDate>false</LinksUpToDate>
  <CharactersWithSpaces>48227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ETH Policy Paper Input</dc:title>
  <dc:creator>Michiel van Dijk</dc:creator>
  <dcterms:created xsi:type="dcterms:W3CDTF">2017-02-14T20:58:54Z</dcterms:created>
  <dcterms:modified xsi:type="dcterms:W3CDTF">2017-02-14T20:58:54Z</dcterms:modified>
</cp:coreProperties>
</file>