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60" w:rsidRDefault="00CC4A26" w:rsidP="00CC4A26">
      <w:pPr>
        <w:pStyle w:val="Title"/>
      </w:pPr>
      <w:r>
        <w:t>Food, Nutrition and production indicators</w:t>
      </w:r>
    </w:p>
    <w:p w:rsidR="00D702C2" w:rsidRDefault="00E9205B" w:rsidP="00CC4A26">
      <w:pPr>
        <w:pStyle w:val="Heading1"/>
      </w:pPr>
      <w:r>
        <w:t>Food Variety Score (</w:t>
      </w:r>
      <w:r w:rsidR="00EE03FE">
        <w:t>FV</w:t>
      </w:r>
      <w:r>
        <w:t>S)</w:t>
      </w:r>
    </w:p>
    <w:p w:rsidR="00E9205B" w:rsidRDefault="00EC6517">
      <w:r>
        <w:t xml:space="preserve">The Food Variety Score counts individual food items </w:t>
      </w:r>
      <w:r>
        <w:fldChar w:fldCharType="begin"/>
      </w:r>
      <w:r>
        <w:instrText xml:space="preserve"> ADDIN ZOTERO_ITEM CSL_CITATION {"citationID":"JPrZQwuD","properties":{"formattedCitation":"(Torheim et al. 2004)","plainCitation":"(Torheim et al. 2004)"},"citationItems":[{"id":831,"uris":["http://zotero.org/groups/462478/items/82ZW7XQI"],"uri":["http://zotero.org/groups/462478/items/82ZW7XQI"],"itemData":{"id":831,"type":"article-journal","title":"Nutrient adequacy and dietary diversity in rural Mali: association and determinants","container-title":"European Journal of Clinical Nutrition","page":"594-604","volume":"58","issue":"4","source":"www.nature.com","abstract":"Objective: To examine the association between nutrient adequacy and dietary diversity, and to assess and compare the determinants for the two constructs in an adult population in rural Mali.","DOI":"10.1038/sj.ejcn.1601853","ISSN":"0954-3007","shortTitle":"Nutrient adequacy and dietary diversity in rural Mali","journalAbbreviation":"Eur J Clin Nutr","language":"en","author":[{"family":"Torheim","given":"L. E."},{"family":"Ouattara","given":"F."},{"family":"Diarra","given":"M. M."},{"family":"Thiam","given":"F. D."},{"family":"Barikmo","given":"I."},{"family":"Hatløy","given":"A."},{"family":"Oshaug","given":"A."}],"issued":{"date-parts":[["2004"]]}}}],"schema":"https://github.com/citation-style-language/schema/raw/master/csl-citation.json"} </w:instrText>
      </w:r>
      <w:r>
        <w:fldChar w:fldCharType="separate"/>
      </w:r>
      <w:r w:rsidRPr="00873C8B">
        <w:t>(Torheim et al. 2004)</w:t>
      </w:r>
      <w:r>
        <w:fldChar w:fldCharType="end"/>
      </w:r>
      <w:r>
        <w:t xml:space="preserve"> in a given reference period. Each food groups consists of a number of food items, see </w:t>
      </w:r>
      <w:proofErr w:type="spellStart"/>
      <w:r>
        <w:t>Torheim</w:t>
      </w:r>
      <w:proofErr w:type="spellEnd"/>
      <w:r>
        <w:t xml:space="preserve"> et al. The calculation of the FVS score requires more detailed data on food items. </w:t>
      </w:r>
    </w:p>
    <w:p w:rsidR="00E9205B" w:rsidRDefault="00E920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FVS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FI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E9205B" w:rsidRDefault="00E9205B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if the food item </w:t>
      </w:r>
      <w:r w:rsidRPr="00E9205B">
        <w:rPr>
          <w:rFonts w:ascii="Cambria Math" w:hAnsi="Cambria Math"/>
          <w:i/>
        </w:rPr>
        <w:t>j</w:t>
      </w:r>
      <w:r>
        <w:t xml:space="preserve"> is consumed by household </w:t>
      </w:r>
      <w:proofErr w:type="spellStart"/>
      <w:r w:rsidRPr="00E9205B">
        <w:rPr>
          <w:rFonts w:ascii="Cambria Math" w:hAnsi="Cambria Math"/>
          <w:i/>
        </w:rPr>
        <w:t>i</w:t>
      </w:r>
      <w:proofErr w:type="spellEnd"/>
      <w:r>
        <w:t xml:space="preserve"> in the reference period and zero otherwise, </w:t>
      </w:r>
      <w:r w:rsidRPr="00E9205B">
        <w:rPr>
          <w:i/>
        </w:rPr>
        <w:t>FI</w:t>
      </w:r>
      <w:r>
        <w:t xml:space="preserve"> is the number of food items, and </w:t>
      </w:r>
      <w:r w:rsidRPr="00E9205B">
        <w:rPr>
          <w:rFonts w:ascii="Cambria Math" w:hAnsi="Cambria Math"/>
          <w:i/>
        </w:rPr>
        <w:t>j=1,..,FI</w:t>
      </w:r>
      <w:r>
        <w:t xml:space="preserve"> is the index of food items. </w:t>
      </w:r>
    </w:p>
    <w:p w:rsidR="00E9205B" w:rsidRDefault="00EC6517">
      <w:r>
        <w:t xml:space="preserve">As the DDS, the FVS score does not take into account the frequency of consumption of food items given a reference period. </w:t>
      </w:r>
    </w:p>
    <w:p w:rsidR="00E9205B" w:rsidRDefault="00E9205B"/>
    <w:p w:rsidR="00E9205B" w:rsidRDefault="00E9205B" w:rsidP="00CC4A26">
      <w:pPr>
        <w:pStyle w:val="Heading1"/>
      </w:pPr>
      <w:r>
        <w:t>Dietary Diversity Score (DDS)</w:t>
      </w:r>
    </w:p>
    <w:p w:rsidR="00CC4A26" w:rsidRPr="00CC4A26" w:rsidRDefault="00CC4A26" w:rsidP="00CC4A26">
      <w:r>
        <w:t>The Diet Diversity Score is defined as the number of food groups consumed in a reference period. The formulae is:</w:t>
      </w:r>
    </w:p>
    <w:p w:rsidR="00E9205B" w:rsidRDefault="00E9205B" w:rsidP="00E920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DD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G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E9205B" w:rsidRDefault="00E9205B" w:rsidP="00E9205B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if the food </w:t>
      </w:r>
      <w:r>
        <w:t>group</w:t>
      </w:r>
      <w:r>
        <w:t xml:space="preserve"> </w:t>
      </w:r>
      <w:r w:rsidRPr="00E9205B">
        <w:rPr>
          <w:rFonts w:ascii="Cambria Math" w:hAnsi="Cambria Math"/>
          <w:i/>
        </w:rPr>
        <w:t>j</w:t>
      </w:r>
      <w:r>
        <w:t xml:space="preserve"> is consumed by household </w:t>
      </w:r>
      <w:proofErr w:type="spellStart"/>
      <w:r w:rsidRPr="00E9205B">
        <w:rPr>
          <w:rFonts w:ascii="Cambria Math" w:hAnsi="Cambria Math"/>
          <w:i/>
        </w:rPr>
        <w:t>i</w:t>
      </w:r>
      <w:proofErr w:type="spellEnd"/>
      <w:r>
        <w:t xml:space="preserve"> in the reference period and zero otherwise, </w:t>
      </w:r>
      <w:r w:rsidRPr="00E9205B">
        <w:rPr>
          <w:i/>
        </w:rPr>
        <w:t>FI</w:t>
      </w:r>
      <w:r>
        <w:t xml:space="preserve"> is the number of food </w:t>
      </w:r>
      <w:r>
        <w:t>group</w:t>
      </w:r>
      <w:r>
        <w:t xml:space="preserve">s, and </w:t>
      </w:r>
      <w:r w:rsidRPr="00E9205B">
        <w:rPr>
          <w:rFonts w:ascii="Cambria Math" w:hAnsi="Cambria Math"/>
          <w:i/>
        </w:rPr>
        <w:t>j=1,..,FI</w:t>
      </w:r>
      <w:r>
        <w:t xml:space="preserve"> is the index of food </w:t>
      </w:r>
      <w:r>
        <w:t>groups</w:t>
      </w:r>
      <w:r>
        <w:t xml:space="preserve">. </w:t>
      </w:r>
    </w:p>
    <w:p w:rsidR="00E9205B" w:rsidRDefault="00E9205B" w:rsidP="00E9205B">
      <w:r>
        <w:t>There are 12 food groups, namely ADD REFERENCE</w:t>
      </w:r>
    </w:p>
    <w:p w:rsidR="00E9205B" w:rsidRDefault="00E9205B">
      <w:r>
        <w:t>Each food group has a number of food items included. The number of food items per food group varies across food groups.</w:t>
      </w:r>
    </w:p>
    <w:p w:rsidR="00E9205B" w:rsidRDefault="00CC4A26">
      <w:r>
        <w:t>The DDS can be calculated for household (HDDS) and individuals (IDDS) given the data available.</w:t>
      </w:r>
    </w:p>
    <w:p w:rsidR="00CC4A26" w:rsidRDefault="00CC4A26"/>
    <w:p w:rsidR="00EE03FE" w:rsidRDefault="00EE03FE">
      <w:r>
        <w:t>DDS</w:t>
      </w:r>
    </w:p>
    <w:p w:rsidR="00EE03FE" w:rsidRDefault="00EE03FE">
      <w:r>
        <w:t>IDDS Individual DDS (12 food groups, count</w:t>
      </w:r>
      <w:r w:rsidR="00EC6517">
        <w:t>, individuals</w:t>
      </w:r>
      <w:r>
        <w:t>)</w:t>
      </w:r>
    </w:p>
    <w:p w:rsidR="00EE03FE" w:rsidRDefault="00EE03FE">
      <w:r>
        <w:t>HDDS Household DDS (12 food groups, count</w:t>
      </w:r>
      <w:r w:rsidR="00EC6517">
        <w:t>, households</w:t>
      </w:r>
      <w:r>
        <w:t>)</w:t>
      </w:r>
    </w:p>
    <w:p w:rsidR="00CC4A26" w:rsidRDefault="00CC4A26" w:rsidP="00CC4A26">
      <w:r>
        <w:t>Studies in SSA countries</w:t>
      </w:r>
    </w:p>
    <w:p w:rsidR="00CC4A26" w:rsidRDefault="00CC4A26"/>
    <w:p w:rsidR="00CC4A26" w:rsidRDefault="00CC4A26" w:rsidP="00CC4A26">
      <w:pPr>
        <w:pStyle w:val="Heading1"/>
      </w:pPr>
      <w:r>
        <w:t>Food Consumption Score (FCS)</w:t>
      </w:r>
    </w:p>
    <w:p w:rsidR="00D702C2" w:rsidRDefault="00D702C2" w:rsidP="00CC4A26">
      <w:r>
        <w:t>The FCS combines data on dietary diversity and food frequency</w:t>
      </w:r>
      <w:r w:rsidR="00CC4A26">
        <w:t xml:space="preserve"> </w:t>
      </w:r>
      <w:r>
        <w:t>using 7-d recall data. The consumption frequency of eight</w:t>
      </w:r>
      <w:r w:rsidR="00CC4A26">
        <w:t xml:space="preserve"> </w:t>
      </w:r>
      <w:r>
        <w:t>food groups (i.e. staple grains and tubers, pulses, vegetables, fruits,</w:t>
      </w:r>
      <w:r w:rsidR="00CC4A26">
        <w:t xml:space="preserve"> </w:t>
      </w:r>
      <w:r>
        <w:t xml:space="preserve">meat and fish, </w:t>
      </w:r>
      <w:r>
        <w:lastRenderedPageBreak/>
        <w:t>dairy products, sugar and oil) is multiplied by an assigned</w:t>
      </w:r>
      <w:r w:rsidR="00CC4A26">
        <w:t xml:space="preserve"> </w:t>
      </w:r>
      <w:r>
        <w:t>weight, and the resulting values are summed to obtain the</w:t>
      </w:r>
      <w:r w:rsidR="00CC4A26">
        <w:t xml:space="preserve"> </w:t>
      </w:r>
      <w:r>
        <w:t>FCS.</w:t>
      </w:r>
    </w:p>
    <w:p w:rsidR="00EC6517" w:rsidRPr="00EC6517" w:rsidRDefault="00EC6517" w:rsidP="00CC4A26">
      <w:r>
        <w:t>FCS (12 food groups including the frequency of consumption as a weight)</w:t>
      </w:r>
      <w:r w:rsidR="00CC4A26">
        <w:t xml:space="preserve"> </w:t>
      </w:r>
      <w:r w:rsidRPr="00EC6517">
        <w:t>the household’s</w:t>
      </w:r>
    </w:p>
    <w:p w:rsidR="00D702C2" w:rsidRDefault="00EC6517" w:rsidP="00CC4A26">
      <w:r w:rsidRPr="00EC6517">
        <w:t>Food Consumption Score (FCS) (World Food Programme,</w:t>
      </w:r>
      <w:r>
        <w:t xml:space="preserve"> </w:t>
      </w:r>
      <w:r w:rsidRPr="00EC6517">
        <w:t>2008). The FCS combines data on dietary diversity and food frequency</w:t>
      </w:r>
      <w:r>
        <w:t xml:space="preserve"> </w:t>
      </w:r>
      <w:r w:rsidRPr="00EC6517">
        <w:t>using 7-d recall data. The consumption frequency of eight</w:t>
      </w:r>
      <w:r>
        <w:t xml:space="preserve"> </w:t>
      </w:r>
      <w:r w:rsidRPr="00EC6517">
        <w:t>food groups (i.e. staple grains and tubers, pulses, vegetables, fruits,</w:t>
      </w:r>
      <w:r>
        <w:t xml:space="preserve"> </w:t>
      </w:r>
      <w:r w:rsidRPr="00EC6517">
        <w:t>meat and fish, dairy products, sugar and oil) is multiplied by an assigned</w:t>
      </w:r>
      <w:r>
        <w:t xml:space="preserve"> </w:t>
      </w:r>
      <w:r w:rsidRPr="00EC6517">
        <w:t>weight, and the resulting values are summed to obtain the</w:t>
      </w:r>
      <w:r>
        <w:t xml:space="preserve"> </w:t>
      </w:r>
      <w:r w:rsidRPr="00EC6517">
        <w:t>FCS. This score can then be recoded to a three-level categorical variable</w:t>
      </w:r>
      <w:r>
        <w:t xml:space="preserve"> </w:t>
      </w:r>
      <w:r w:rsidRPr="00EC6517">
        <w:t>using standard cut-off values. The assigned weights for each</w:t>
      </w:r>
      <w:r>
        <w:t xml:space="preserve"> </w:t>
      </w:r>
      <w:r w:rsidRPr="00EC6517">
        <w:t>food group are based on the energy, protein and micronutrient</w:t>
      </w:r>
      <w:r>
        <w:t xml:space="preserve"> </w:t>
      </w:r>
      <w:r w:rsidRPr="00EC6517">
        <w:t>densities of each food group.</w:t>
      </w:r>
    </w:p>
    <w:p w:rsidR="00F93D8D" w:rsidRDefault="00F93D8D" w:rsidP="00CC4A26">
      <w:r>
        <w:t>The FCS is defined as the count of the number of food groups consumed in a reference period weighted by the frequency of consumption during this reference period.</w:t>
      </w:r>
    </w:p>
    <w:p w:rsidR="00F93D8D" w:rsidRDefault="00F93D8D" w:rsidP="00F93D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FC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FG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</m:oMath>
      </m:oMathPara>
    </w:p>
    <w:p w:rsidR="00F93D8D" w:rsidRDefault="00F93D8D" w:rsidP="00F93D8D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i</w:t>
      </w:r>
      <w:r>
        <w:t>s</w:t>
      </w:r>
      <w:r>
        <w:t xml:space="preserve"> the </w:t>
      </w:r>
      <w:r>
        <w:t xml:space="preserve">number of times that the </w:t>
      </w:r>
      <w:r>
        <w:t xml:space="preserve">food group </w:t>
      </w:r>
      <w:r w:rsidRPr="00E9205B">
        <w:rPr>
          <w:rFonts w:ascii="Cambria Math" w:hAnsi="Cambria Math"/>
          <w:i/>
        </w:rPr>
        <w:t>j</w:t>
      </w:r>
      <w:r>
        <w:t xml:space="preserve"> is consumed by household </w:t>
      </w:r>
      <w:proofErr w:type="spellStart"/>
      <w:r w:rsidRPr="00E9205B">
        <w:rPr>
          <w:rFonts w:ascii="Cambria Math" w:hAnsi="Cambria Math"/>
          <w:i/>
        </w:rPr>
        <w:t>i</w:t>
      </w:r>
      <w:proofErr w:type="spellEnd"/>
      <w:r>
        <w:t xml:space="preserve"> in the reference period, </w:t>
      </w:r>
      <w:r w:rsidRPr="00E9205B">
        <w:rPr>
          <w:i/>
        </w:rPr>
        <w:t>F</w:t>
      </w:r>
      <w:r>
        <w:rPr>
          <w:i/>
        </w:rPr>
        <w:t>G</w:t>
      </w:r>
      <w:r>
        <w:t xml:space="preserve"> is the number of food groups, and </w:t>
      </w:r>
      <w:r w:rsidRPr="00E9205B">
        <w:rPr>
          <w:rFonts w:ascii="Cambria Math" w:hAnsi="Cambria Math"/>
          <w:i/>
        </w:rPr>
        <w:t>j=1,..,FI</w:t>
      </w:r>
      <w:r>
        <w:t xml:space="preserve"> is the index of food groups</w:t>
      </w:r>
      <w:r>
        <w:t xml:space="preserve">, and </w:t>
      </w:r>
      <w:bookmarkStart w:id="0" w:name="_GoBack"/>
      <w:r w:rsidRPr="00F93D8D">
        <w:rPr>
          <w:i/>
        </w:rPr>
        <w:t>T</w:t>
      </w:r>
      <w:bookmarkEnd w:id="0"/>
      <w:r>
        <w:t xml:space="preserve"> is the duration of the reference period</w:t>
      </w:r>
      <w:r>
        <w:t xml:space="preserve">. </w:t>
      </w:r>
    </w:p>
    <w:p w:rsidR="00EC6517" w:rsidRDefault="00EC6517" w:rsidP="00D702C2">
      <w:pPr>
        <w:rPr>
          <w:rFonts w:ascii="AdvGulliv-R" w:hAnsi="AdvGulliv-R" w:cs="AdvGulliv-R"/>
          <w:sz w:val="16"/>
          <w:szCs w:val="16"/>
        </w:rPr>
      </w:pPr>
    </w:p>
    <w:p w:rsidR="00F93D8D" w:rsidRDefault="00F93D8D" w:rsidP="00F93D8D">
      <w:pPr>
        <w:pStyle w:val="Heading1"/>
      </w:pPr>
      <w:r>
        <w:t>Syntheses</w:t>
      </w:r>
    </w:p>
    <w:p w:rsidR="00F93D8D" w:rsidRPr="00F93D8D" w:rsidRDefault="00F93D8D" w:rsidP="00F93D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EC6517" w:rsidTr="00EC6517">
        <w:tc>
          <w:tcPr>
            <w:tcW w:w="1857" w:type="dxa"/>
          </w:tcPr>
          <w:p w:rsidR="00EC6517" w:rsidRDefault="00EC6517" w:rsidP="00D702C2"/>
        </w:tc>
        <w:tc>
          <w:tcPr>
            <w:tcW w:w="1857" w:type="dxa"/>
          </w:tcPr>
          <w:p w:rsidR="00EC6517" w:rsidRDefault="00EC6517" w:rsidP="00D702C2">
            <w:r>
              <w:t>DDS</w:t>
            </w:r>
          </w:p>
        </w:tc>
        <w:tc>
          <w:tcPr>
            <w:tcW w:w="1858" w:type="dxa"/>
          </w:tcPr>
          <w:p w:rsidR="00EC6517" w:rsidRDefault="00EC6517" w:rsidP="00D702C2">
            <w:r>
              <w:t>FVS</w:t>
            </w:r>
          </w:p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</w:tr>
      <w:tr w:rsidR="00EC6517" w:rsidTr="00EC6517">
        <w:tc>
          <w:tcPr>
            <w:tcW w:w="1857" w:type="dxa"/>
          </w:tcPr>
          <w:p w:rsidR="00EC6517" w:rsidRDefault="00CC4A26" w:rsidP="00CC4A26">
            <w:r>
              <w:fldChar w:fldCharType="begin"/>
            </w:r>
            <w:r>
              <w:instrText xml:space="preserve"> ADDIN ZOTERO_ITEM CSL_CITATION {"citationID":"NytU6eyZ","properties":{"formattedCitation":"(Torheim et al. 2004)","plainCitation":"(Torheim et al. 2004)"},"citationItems":[{"id":831,"uris":["http://zotero.org/groups/462478/items/82ZW7XQI"],"uri":["http://zotero.org/groups/462478/items/82ZW7XQI"],"itemData":{"id":831,"type":"article-journal","title":"Nutrient adequacy and dietary diversity in rural Mali: association and determinants","container-title":"European Journal of Clinical Nutrition","page":"594-604","volume":"58","issue":"4","source":"www.nature.com","abstract":"Objective: To examine the association between nutrient adequacy and dietary diversity, and to assess and compare the determinants for the two constructs in an adult population in rural Mali.","DOI":"10.1038/sj.ejcn.1601853","ISSN":"0954-3007","shortTitle":"Nutrient adequacy and dietary diversity in rural Mali","journalAbbreviation":"Eur J Clin Nutr","language":"en","author":[{"family":"Torheim","given":"L. E."},{"family":"Ouattara","given":"F."},{"family":"Diarra","given":"M. M."},{"family":"Thiam","given":"F. D."},{"family":"Barikmo","given":"I."},{"family":"Hatløy","given":"A."},{"family":"Oshaug","given":"A."}],"issued":{"date-parts":[["2004"]]}}}],"schema":"https://github.com/citation-style-language/schema/raw/master/csl-citation.json"} </w:instrText>
            </w:r>
            <w:r>
              <w:fldChar w:fldCharType="separate"/>
            </w:r>
            <w:r w:rsidRPr="00CC4A26">
              <w:t>(</w:t>
            </w:r>
            <w:proofErr w:type="spellStart"/>
            <w:r w:rsidRPr="00CC4A26">
              <w:t>Torheim</w:t>
            </w:r>
            <w:proofErr w:type="spellEnd"/>
            <w:r w:rsidRPr="00CC4A26">
              <w:t xml:space="preserve"> et al. 2004)</w:t>
            </w:r>
            <w:r>
              <w:fldChar w:fldCharType="end"/>
            </w:r>
          </w:p>
        </w:tc>
        <w:tc>
          <w:tcPr>
            <w:tcW w:w="1857" w:type="dxa"/>
          </w:tcPr>
          <w:p w:rsidR="00EC6517" w:rsidRDefault="00EC6517" w:rsidP="00D702C2">
            <w:r>
              <w:t>Households</w:t>
            </w:r>
          </w:p>
        </w:tc>
        <w:tc>
          <w:tcPr>
            <w:tcW w:w="1858" w:type="dxa"/>
          </w:tcPr>
          <w:p w:rsidR="00EC6517" w:rsidRDefault="00EC6517" w:rsidP="00751584">
            <w:r>
              <w:t>Households</w:t>
            </w:r>
          </w:p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</w:tr>
      <w:tr w:rsidR="00EC6517" w:rsidTr="00EC6517">
        <w:tc>
          <w:tcPr>
            <w:tcW w:w="1857" w:type="dxa"/>
          </w:tcPr>
          <w:p w:rsidR="00EC6517" w:rsidRDefault="00EC6517" w:rsidP="00D702C2"/>
        </w:tc>
        <w:tc>
          <w:tcPr>
            <w:tcW w:w="1857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</w:tr>
      <w:tr w:rsidR="00EC6517" w:rsidTr="00EC6517">
        <w:tc>
          <w:tcPr>
            <w:tcW w:w="1857" w:type="dxa"/>
          </w:tcPr>
          <w:p w:rsidR="00EC6517" w:rsidRDefault="00EC6517" w:rsidP="00D702C2"/>
        </w:tc>
        <w:tc>
          <w:tcPr>
            <w:tcW w:w="1857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</w:tr>
      <w:tr w:rsidR="00EC6517" w:rsidTr="00EC6517">
        <w:tc>
          <w:tcPr>
            <w:tcW w:w="1857" w:type="dxa"/>
          </w:tcPr>
          <w:p w:rsidR="00EC6517" w:rsidRDefault="00EC6517" w:rsidP="00D702C2"/>
        </w:tc>
        <w:tc>
          <w:tcPr>
            <w:tcW w:w="1857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</w:tr>
      <w:tr w:rsidR="00EC6517" w:rsidTr="00EC6517">
        <w:tc>
          <w:tcPr>
            <w:tcW w:w="1857" w:type="dxa"/>
          </w:tcPr>
          <w:p w:rsidR="00EC6517" w:rsidRDefault="00EC6517" w:rsidP="00D702C2"/>
        </w:tc>
        <w:tc>
          <w:tcPr>
            <w:tcW w:w="1857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</w:tr>
      <w:tr w:rsidR="00EC6517" w:rsidTr="00EC6517">
        <w:tc>
          <w:tcPr>
            <w:tcW w:w="1857" w:type="dxa"/>
          </w:tcPr>
          <w:p w:rsidR="00EC6517" w:rsidRDefault="00EC6517" w:rsidP="00D702C2"/>
        </w:tc>
        <w:tc>
          <w:tcPr>
            <w:tcW w:w="1857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</w:tr>
      <w:tr w:rsidR="00EC6517" w:rsidTr="00EC6517">
        <w:tc>
          <w:tcPr>
            <w:tcW w:w="1857" w:type="dxa"/>
          </w:tcPr>
          <w:p w:rsidR="00EC6517" w:rsidRDefault="00EC6517" w:rsidP="00D702C2"/>
        </w:tc>
        <w:tc>
          <w:tcPr>
            <w:tcW w:w="1857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  <w:tc>
          <w:tcPr>
            <w:tcW w:w="1858" w:type="dxa"/>
          </w:tcPr>
          <w:p w:rsidR="00EC6517" w:rsidRDefault="00EC6517" w:rsidP="00D702C2"/>
        </w:tc>
      </w:tr>
    </w:tbl>
    <w:p w:rsidR="00EC6517" w:rsidRDefault="00EC6517" w:rsidP="00D702C2"/>
    <w:p w:rsidR="00CC4A26" w:rsidRDefault="00CC4A26" w:rsidP="00D702C2"/>
    <w:p w:rsidR="00CC4A26" w:rsidRDefault="00CC4A26" w:rsidP="00CC4A26">
      <w:pPr>
        <w:pStyle w:val="Heading1"/>
      </w:pPr>
      <w:r>
        <w:t>References</w:t>
      </w:r>
    </w:p>
    <w:p w:rsidR="00CC4A26" w:rsidRPr="00CC4A26" w:rsidRDefault="00CC4A26" w:rsidP="00CC4A26">
      <w:pPr>
        <w:pStyle w:val="Bibliography"/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proofErr w:type="spellStart"/>
      <w:r w:rsidRPr="00CC4A26">
        <w:t>Torheim</w:t>
      </w:r>
      <w:proofErr w:type="spellEnd"/>
      <w:r w:rsidRPr="00CC4A26">
        <w:t xml:space="preserve">, L. E., F. </w:t>
      </w:r>
      <w:proofErr w:type="spellStart"/>
      <w:r w:rsidRPr="00CC4A26">
        <w:t>Ouattara</w:t>
      </w:r>
      <w:proofErr w:type="spellEnd"/>
      <w:r w:rsidRPr="00CC4A26">
        <w:t xml:space="preserve">, M. M. </w:t>
      </w:r>
      <w:proofErr w:type="spellStart"/>
      <w:r w:rsidRPr="00CC4A26">
        <w:t>Diarra</w:t>
      </w:r>
      <w:proofErr w:type="spellEnd"/>
      <w:r w:rsidRPr="00CC4A26">
        <w:t xml:space="preserve">, F. D. </w:t>
      </w:r>
      <w:proofErr w:type="spellStart"/>
      <w:r w:rsidRPr="00CC4A26">
        <w:t>Thiam</w:t>
      </w:r>
      <w:proofErr w:type="spellEnd"/>
      <w:r w:rsidRPr="00CC4A26">
        <w:t xml:space="preserve">, I. </w:t>
      </w:r>
      <w:proofErr w:type="spellStart"/>
      <w:r w:rsidRPr="00CC4A26">
        <w:t>Barikmo</w:t>
      </w:r>
      <w:proofErr w:type="spellEnd"/>
      <w:r w:rsidRPr="00CC4A26">
        <w:t xml:space="preserve">, A. </w:t>
      </w:r>
      <w:proofErr w:type="spellStart"/>
      <w:r w:rsidRPr="00CC4A26">
        <w:t>Hatløy</w:t>
      </w:r>
      <w:proofErr w:type="spellEnd"/>
      <w:r w:rsidRPr="00CC4A26">
        <w:t xml:space="preserve">, and A. </w:t>
      </w:r>
      <w:proofErr w:type="spellStart"/>
      <w:r w:rsidRPr="00CC4A26">
        <w:t>Oshaug</w:t>
      </w:r>
      <w:proofErr w:type="spellEnd"/>
      <w:r w:rsidRPr="00CC4A26">
        <w:t xml:space="preserve">. 2004. ‘Nutrient Adequacy and Dietary Diversity in Rural Mali: Association and Determinants’. </w:t>
      </w:r>
      <w:r w:rsidRPr="00CC4A26">
        <w:rPr>
          <w:i/>
          <w:iCs/>
        </w:rPr>
        <w:t>European Journal of Clinical Nutrition</w:t>
      </w:r>
      <w:r w:rsidRPr="00CC4A26">
        <w:t xml:space="preserve"> 58 (4): 594–604. doi:10.1038/sj.ejcn.1601853.</w:t>
      </w:r>
    </w:p>
    <w:p w:rsidR="00CC4A26" w:rsidRPr="00CC4A26" w:rsidRDefault="00CC4A26" w:rsidP="00CC4A26">
      <w:r>
        <w:fldChar w:fldCharType="end"/>
      </w:r>
    </w:p>
    <w:sectPr w:rsidR="00CC4A26" w:rsidRPr="00CC4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Gulliv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C2"/>
    <w:rsid w:val="0014703B"/>
    <w:rsid w:val="00296560"/>
    <w:rsid w:val="004E3562"/>
    <w:rsid w:val="008B0BCE"/>
    <w:rsid w:val="00A90630"/>
    <w:rsid w:val="00CC4A26"/>
    <w:rsid w:val="00D702C2"/>
    <w:rsid w:val="00E9205B"/>
    <w:rsid w:val="00EC6517"/>
    <w:rsid w:val="00EE03FE"/>
    <w:rsid w:val="00F9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5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05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4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4A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A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ibliography">
    <w:name w:val="Bibliography"/>
    <w:basedOn w:val="Normal"/>
    <w:next w:val="Normal"/>
    <w:uiPriority w:val="37"/>
    <w:unhideWhenUsed/>
    <w:rsid w:val="00CC4A26"/>
    <w:pPr>
      <w:spacing w:after="0" w:line="240" w:lineRule="auto"/>
      <w:ind w:left="720" w:hanging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5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05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4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4A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A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ibliography">
    <w:name w:val="Bibliography"/>
    <w:basedOn w:val="Normal"/>
    <w:next w:val="Normal"/>
    <w:uiPriority w:val="37"/>
    <w:unhideWhenUsed/>
    <w:rsid w:val="00CC4A26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Linderhof, Vincent</dc:creator>
  <cp:lastModifiedBy>Linderhof, Vincent</cp:lastModifiedBy>
  <cp:revision>2</cp:revision>
  <dcterms:created xsi:type="dcterms:W3CDTF">2016-02-16T19:49:00Z</dcterms:created>
  <dcterms:modified xsi:type="dcterms:W3CDTF">2016-02-16T19:49:00Z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id="m6BztaWy"/&gt;&lt;style id="http://www.zotero.org/styles/chicago-author-date" locale="en-GB" hasBibliography="1" bibliographyStyleHasBeenSet="1"/&gt;&lt;prefs&gt;&lt;pref name="fieldType" value="Field"/&gt;&lt;pref na</vt:lpwstr>
  </property>
  <property fmtid="{D5CDD505-2E9C-101B-9397-08002B2CF9AE}" pid="3" name="ZOTERO_PREF_2">
    <vt:lpwstr>me="storeReferences" value="true"/&gt;&lt;pref name="automaticJournalAbbreviations" value="true"/&gt;&lt;pref name="noteType" value=""/&gt;&lt;/prefs&gt;&lt;/data&gt;</vt:lpwstr>
  </property>
</Properties>
</file>