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00"/>
        <w:jc w:val="left"/>
      </w:pPr>
      <w:r>
        <w:rPr>
          <w:rFonts w:ascii="Arial" w:cs="Arial" w:eastAsia="Arial" w:hAnsi="Arial"/>
          <w:b/>
          <w:bCs/>
          <w:caps/>
          <w:color w:val="2E86AB"/>
          <w:sz w:val="18"/>
          <w:szCs w:val="18"/>
        </w:rPr>
        <w:t xml:space="preserve">PRODUCT VALUATION &amp; SALES BRIEF</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single" w:color="2E86AB" w:sz="6"/>
              <w:right w:val="none" w:color="FFFFFF" w:sz="0"/>
            </w:tcBorders>
          </w:tcPr>
          <w:p/>
        </w:tc>
      </w:tr>
    </w:tbl>
    <w:p>
      <w:pPr>
        <w:spacing w:before="400" w:after="0"/>
      </w:pPr>
    </w:p>
    <w:p>
      <w:pPr>
        <w:spacing w:after="200"/>
      </w:pPr>
      <w:r>
        <w:rPr>
          <w:rFonts w:ascii="Arial" w:cs="Arial" w:eastAsia="Arial" w:hAnsi="Arial"/>
          <w:b/>
          <w:bCs/>
          <w:color w:val="1B2A4A"/>
          <w:sz w:val="56"/>
          <w:szCs w:val="56"/>
        </w:rPr>
        <w:t xml:space="preserve">Agency Tools v2</w:t>
      </w:r>
    </w:p>
    <w:p>
      <w:pPr>
        <w:spacing w:after="200"/>
      </w:pPr>
      <w:r>
        <w:rPr>
          <w:rFonts w:ascii="Arial" w:cs="Arial" w:eastAsia="Arial" w:hAnsi="Arial"/>
          <w:color w:val="555555"/>
          <w:sz w:val="28"/>
          <w:szCs w:val="28"/>
        </w:rPr>
        <w:t xml:space="preserve">AI Implementation Platform for Creative,
PR &amp; Communications Agencies</w:t>
      </w:r>
    </w:p>
    <w:p>
      <w:pPr>
        <w:spacing w:before="600" w:after="0"/>
      </w:pPr>
    </w:p>
    <w:p>
      <w:r>
        <w:rPr>
          <w:rFonts w:ascii="Arial" w:cs="Arial" w:eastAsia="Arial" w:hAnsi="Arial"/>
          <w:b/>
          <w:bCs/>
          <w:color w:val="2E86AB"/>
          <w:sz w:val="26"/>
          <w:szCs w:val="26"/>
        </w:rPr>
        <w:t xml:space="preserve">Estimated Platform Value: $150,000 – $350,000+</w:t>
      </w:r>
    </w:p>
    <w:p>
      <w:pPr>
        <w:spacing w:before="100" w:after="0"/>
      </w:pPr>
    </w:p>
    <w:p>
      <w:r>
        <w:rPr>
          <w:rFonts w:ascii="Arial" w:cs="Arial" w:eastAsia="Arial" w:hAnsi="Arial"/>
          <w:color w:val="555555"/>
          <w:sz w:val="22"/>
          <w:szCs w:val="22"/>
        </w:rPr>
        <w:t xml:space="preserve">Annual Revenue Potential: $180,000 – $600,000+ (SaaS)</w:t>
      </w:r>
    </w:p>
    <w:p>
      <w:pPr>
        <w:spacing w:before="1200" w:after="0"/>
      </w:pPr>
    </w:p>
    <w:p>
      <w:r>
        <w:rPr>
          <w:rFonts w:ascii="Arial" w:cs="Arial" w:eastAsia="Arial" w:hAnsi="Arial"/>
          <w:color w:val="555555"/>
          <w:sz w:val="20"/>
          <w:szCs w:val="20"/>
        </w:rPr>
        <w:t xml:space="preserve">Prepared: February 2026</w:t>
      </w:r>
    </w:p>
    <w:p>
      <w:r>
        <w:rPr>
          <w:rFonts w:ascii="Arial" w:cs="Arial" w:eastAsia="Arial" w:hAnsi="Arial"/>
          <w:i/>
          <w:iCs/>
          <w:color w:val="555555"/>
          <w:sz w:val="20"/>
          <w:szCs w:val="20"/>
        </w:rPr>
        <w:t xml:space="preserve">Confidential</w:t>
      </w:r>
    </w:p>
    <w:p>
      <w:pPr>
        <w:sectPr>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1B2A4A"/>
          <w:sz w:val="28"/>
          <w:szCs w:val="28"/>
        </w:rPr>
        <w:t xml:space="preserve">EXECUTIVE SUMMARY</w:t>
      </w:r>
    </w:p>
    <w:p>
      <w:pPr>
        <w:spacing w:before="80" w:after="80" w:line="320"/>
        <w:jc w:val="left"/>
      </w:pPr>
      <w:r>
        <w:rPr>
          <w:rFonts w:ascii="Arial" w:cs="Arial" w:eastAsia="Arial" w:hAnsi="Arial"/>
          <w:color w:val="1A1A1A"/>
          <w:sz w:val="21"/>
          <w:szCs w:val="21"/>
        </w:rPr>
        <w:t xml:space="preserve">Agency Tools v2 is a production-grade AI implementation platform purpose-built for creative, PR, and communications agencies. It combines a curated library of 76 expert-crafted prompts, 12 specialized Cowork plugins with 36 operational commands, 19 comprehensive getting-started guides, and an intelligent navigation system — all within a modern Next.js application built on React 19 and TypeScript.</w:t>
      </w:r>
    </w:p>
    <w:p>
      <w:pPr>
        <w:spacing w:before="80" w:after="80" w:line="320"/>
        <w:jc w:val="left"/>
      </w:pPr>
      <w:r>
        <w:rPr>
          <w:rFonts w:ascii="Arial" w:cs="Arial" w:eastAsia="Arial" w:hAnsi="Arial"/>
          <w:color w:val="1A1A1A"/>
          <w:sz w:val="21"/>
          <w:szCs w:val="21"/>
        </w:rPr>
        <w:t xml:space="preserve">This is not a generic prompt collection. It is a role-based AI operating system that addresses the exact pain points agencies face when adopting AI: inconsistent usage across departments, lack of governance, fragmented tooling, and the steep learning curve that prevents teams from realizing efficiency gains.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
        <w:gridCol w:w="2200"/>
        <w:gridCol w:w="180"/>
        <w:gridCol w:w="2200"/>
        <w:gridCol w:w="180"/>
        <w:gridCol w:w="2220"/>
      </w:tblGrid>
      <w:tr>
        <w:tc>
          <w:tcPr>
            <w:tcW w:type="dxa" w:w="220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vAlign w:val="center"/>
          </w:tcPr>
          <w:p>
            <w:pPr>
              <w:spacing w:after="40"/>
              <w:jc w:val="center"/>
            </w:pPr>
            <w:r>
              <w:rPr>
                <w:rFonts w:ascii="Arial" w:cs="Arial" w:eastAsia="Arial" w:hAnsi="Arial"/>
                <w:b/>
                <w:bCs/>
                <w:color w:val="FFFFFF"/>
                <w:sz w:val="36"/>
                <w:szCs w:val="36"/>
              </w:rPr>
              <w:t xml:space="preserve">76</w:t>
            </w:r>
          </w:p>
          <w:p>
            <w:pPr>
              <w:jc w:val="center"/>
            </w:pPr>
            <w:r>
              <w:rPr>
                <w:rFonts w:ascii="Arial" w:cs="Arial" w:eastAsia="Arial" w:hAnsi="Arial"/>
                <w:color w:val="E8F4F8"/>
                <w:sz w:val="16"/>
                <w:szCs w:val="16"/>
              </w:rPr>
              <w:t xml:space="preserve">AI Prompts</w:t>
            </w:r>
          </w:p>
        </w:tc>
        <w:tc>
          <w:tcPr>
            <w:tcW w:type="dxa" w:w="18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vAlign w:val="center"/>
          </w:tcPr>
          <w:p>
            <w:pPr>
              <w:spacing w:after="40"/>
              <w:jc w:val="center"/>
            </w:pPr>
            <w:r>
              <w:rPr>
                <w:rFonts w:ascii="Arial" w:cs="Arial" w:eastAsia="Arial" w:hAnsi="Arial"/>
                <w:b/>
                <w:bCs/>
                <w:color w:val="FFFFFF"/>
                <w:sz w:val="36"/>
                <w:szCs w:val="36"/>
              </w:rPr>
              <w:t xml:space="preserve">12</w:t>
            </w:r>
          </w:p>
          <w:p>
            <w:pPr>
              <w:jc w:val="center"/>
            </w:pPr>
            <w:r>
              <w:rPr>
                <w:rFonts w:ascii="Arial" w:cs="Arial" w:eastAsia="Arial" w:hAnsi="Arial"/>
                <w:color w:val="E8F4F8"/>
                <w:sz w:val="16"/>
                <w:szCs w:val="16"/>
              </w:rPr>
              <w:t xml:space="preserve">Cowork Plugins</w:t>
            </w:r>
          </w:p>
        </w:tc>
        <w:tc>
          <w:tcPr>
            <w:tcW w:type="dxa" w:w="18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vAlign w:val="center"/>
          </w:tcPr>
          <w:p>
            <w:pPr>
              <w:spacing w:after="40"/>
              <w:jc w:val="center"/>
            </w:pPr>
            <w:r>
              <w:rPr>
                <w:rFonts w:ascii="Arial" w:cs="Arial" w:eastAsia="Arial" w:hAnsi="Arial"/>
                <w:b/>
                <w:bCs/>
                <w:color w:val="FFFFFF"/>
                <w:sz w:val="36"/>
                <w:szCs w:val="36"/>
              </w:rPr>
              <w:t xml:space="preserve">19</w:t>
            </w:r>
          </w:p>
          <w:p>
            <w:pPr>
              <w:jc w:val="center"/>
            </w:pPr>
            <w:r>
              <w:rPr>
                <w:rFonts w:ascii="Arial" w:cs="Arial" w:eastAsia="Arial" w:hAnsi="Arial"/>
                <w:color w:val="E8F4F8"/>
                <w:sz w:val="16"/>
                <w:szCs w:val="16"/>
              </w:rPr>
              <w:t xml:space="preserve">Tool Guides</w:t>
            </w:r>
          </w:p>
        </w:tc>
        <w:tc>
          <w:tcPr>
            <w:tcW w:type="dxa" w:w="180"/>
            <w:tcBorders>
              <w:top w:val="none" w:color="FFFFFF" w:sz="0"/>
              <w:left w:val="none" w:color="FFFFFF" w:sz="0"/>
              <w:bottom w:val="none" w:color="FFFFFF" w:sz="0"/>
              <w:right w:val="none" w:color="FFFFFF" w:sz="0"/>
            </w:tcBorders>
          </w:tcPr>
          <w:p/>
        </w:tc>
        <w:tc>
          <w:tcPr>
            <w:tcW w:type="dxa" w:w="2220"/>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vAlign w:val="center"/>
          </w:tcPr>
          <w:p>
            <w:pPr>
              <w:spacing w:after="40"/>
              <w:jc w:val="center"/>
            </w:pPr>
            <w:r>
              <w:rPr>
                <w:rFonts w:ascii="Arial" w:cs="Arial" w:eastAsia="Arial" w:hAnsi="Arial"/>
                <w:b/>
                <w:bCs/>
                <w:color w:val="FFFFFF"/>
                <w:sz w:val="36"/>
                <w:szCs w:val="36"/>
              </w:rPr>
              <w:t xml:space="preserve">19K+</w:t>
            </w:r>
          </w:p>
          <w:p>
            <w:pPr>
              <w:jc w:val="center"/>
            </w:pPr>
            <w:r>
              <w:rPr>
                <w:rFonts w:ascii="Arial" w:cs="Arial" w:eastAsia="Arial" w:hAnsi="Arial"/>
                <w:color w:val="E8F4F8"/>
                <w:sz w:val="16"/>
                <w:szCs w:val="16"/>
              </w:rPr>
              <w:t xml:space="preserve">Lines of Code</w:t>
            </w:r>
          </w:p>
        </w:tc>
      </w:tr>
    </w:tbl>
    <w:p>
      <w:pPr>
        <w:spacing w:before="300" w:after="0"/>
      </w:pPr>
    </w:p>
    <w:p>
      <w:pPr>
        <w:spacing w:before="280" w:after="140"/>
      </w:pPr>
      <w:r>
        <w:rPr>
          <w:rFonts w:ascii="Arial" w:cs="Arial" w:eastAsia="Arial" w:hAnsi="Arial"/>
          <w:b/>
          <w:bCs/>
          <w:color w:val="2E86AB"/>
          <w:sz w:val="24"/>
          <w:szCs w:val="24"/>
        </w:rPr>
        <w:t xml:space="preserve">Why This Matters Now</w:t>
      </w:r>
    </w:p>
    <w:p>
      <w:pPr>
        <w:spacing w:before="80" w:after="80" w:line="320"/>
        <w:jc w:val="left"/>
      </w:pPr>
      <w:r>
        <w:rPr>
          <w:rFonts w:ascii="Arial" w:cs="Arial" w:eastAsia="Arial" w:hAnsi="Arial"/>
          <w:color w:val="1A1A1A"/>
          <w:sz w:val="21"/>
          <w:szCs w:val="21"/>
        </w:rPr>
        <w:t xml:space="preserve">The generative AI content creation market reached $14.8 billion in 2024 and is projected to hit $80.12 billion by 2030, growing at 32.5% CAGR (Grand View Research). Within agencies specifically, 91% of US advertising agencies are currently using or exploring generative AI (Forrester, 2024), yet 67% cite lack of education and training as their primary barrier to adoption.</w:t>
      </w:r>
    </w:p>
    <w:p>
      <w:pPr>
        <w:spacing w:before="80" w:after="80" w:line="320"/>
        <w:jc w:val="left"/>
      </w:pPr>
      <w:r>
        <w:rPr>
          <w:rFonts w:ascii="Arial" w:cs="Arial" w:eastAsia="Arial" w:hAnsi="Arial"/>
          <w:color w:val="1A1A1A"/>
          <w:sz w:val="21"/>
          <w:szCs w:val="21"/>
        </w:rPr>
        <w:t xml:space="preserve">Agency Tools v2 sits at the intersection of these forces — providing the structured implementation framework that agencies need but cannot build internally without significant investment in time, expertise, and development resources.</w:t>
      </w:r>
    </w:p>
    <w:p>
      <w:r>
        <w:br w:type="page"/>
      </w:r>
    </w:p>
    <w:p>
      <w:pPr>
        <w:spacing w:before="400" w:after="200"/>
      </w:pPr>
      <w:r>
        <w:rPr>
          <w:rFonts w:ascii="Arial" w:cs="Arial" w:eastAsia="Arial" w:hAnsi="Arial"/>
          <w:b/>
          <w:bCs/>
          <w:color w:val="1B2A4A"/>
          <w:sz w:val="28"/>
          <w:szCs w:val="28"/>
        </w:rPr>
        <w:t xml:space="preserve">PLATFORM OVERVIEW</w:t>
      </w:r>
    </w:p>
    <w:p>
      <w:pPr>
        <w:spacing w:before="280" w:after="140"/>
      </w:pPr>
      <w:r>
        <w:rPr>
          <w:rFonts w:ascii="Arial" w:cs="Arial" w:eastAsia="Arial" w:hAnsi="Arial"/>
          <w:b/>
          <w:bCs/>
          <w:color w:val="2E86AB"/>
          <w:sz w:val="24"/>
          <w:szCs w:val="24"/>
        </w:rPr>
        <w:t xml:space="preserve">1. Expert Prompt Library (76 Prompts)</w:t>
      </w:r>
    </w:p>
    <w:p>
      <w:pPr>
        <w:spacing w:before="80" w:after="80" w:line="320"/>
        <w:jc w:val="left"/>
      </w:pPr>
      <w:r>
        <w:rPr>
          <w:rFonts w:ascii="Arial" w:cs="Arial" w:eastAsia="Arial" w:hAnsi="Arial"/>
          <w:color w:val="1A1A1A"/>
          <w:sz w:val="21"/>
          <w:szCs w:val="21"/>
        </w:rPr>
        <w:t xml:space="preserve">Each prompt is a 1,500–3,000 word operational framework — not a simple instruction. They include role definitions, multi-step methodologies, output format specifications, tone guardrails, and explicit knowledge-upload recommendations (5–8 file types per prompt). The prompts span 10 agency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5040"/>
      </w:tblGrid>
      <w:tr>
        <w:tc>
          <w:tcPr>
            <w:tcW w:type="dxa" w:w="312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Department</w:t>
            </w:r>
          </w:p>
        </w:tc>
        <w:tc>
          <w:tcPr>
            <w:tcW w:type="dxa" w:w="12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Prompts</w:t>
            </w:r>
          </w:p>
        </w:tc>
        <w:tc>
          <w:tcPr>
            <w:tcW w:type="dxa" w:w="504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Coverage</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Creative</w:t>
            </w:r>
          </w:p>
        </w:tc>
        <w:tc>
          <w:tcPr>
            <w:tcW w:type="dxa" w:w="12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center"/>
            </w:pPr>
            <w:r>
              <w:rPr>
                <w:rFonts w:ascii="Arial" w:cs="Arial" w:eastAsia="Arial" w:hAnsi="Arial"/>
                <w:color w:val="1A1A1A"/>
                <w:sz w:val="19"/>
                <w:szCs w:val="19"/>
              </w:rPr>
              <w:t xml:space="preserve">9</w:t>
            </w:r>
          </w:p>
        </w:tc>
        <w:tc>
          <w:tcPr>
            <w:tcW w:type="dxa" w:w="50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Campaign concepts, creative briefs, reviews, art direction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Strategy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8</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Brand positioning, competitive analysis, strategy briefs</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Account Management</w:t>
            </w:r>
          </w:p>
        </w:tc>
        <w:tc>
          <w:tcPr>
            <w:tcW w:type="dxa" w:w="12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center"/>
            </w:pPr>
            <w:r>
              <w:rPr>
                <w:rFonts w:ascii="Arial" w:cs="Arial" w:eastAsia="Arial" w:hAnsi="Arial"/>
                <w:color w:val="1A1A1A"/>
                <w:sz w:val="19"/>
                <w:szCs w:val="19"/>
              </w:rPr>
              <w:t xml:space="preserve">8</w:t>
            </w:r>
          </w:p>
        </w:tc>
        <w:tc>
          <w:tcPr>
            <w:tcW w:type="dxa" w:w="50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Client comms, relationship management, presentations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Production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7</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Specs, shot lists, delivery requirements, vendor briefs</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Design</w:t>
            </w:r>
          </w:p>
        </w:tc>
        <w:tc>
          <w:tcPr>
            <w:tcW w:type="dxa" w:w="12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center"/>
            </w:pPr>
            <w:r>
              <w:rPr>
                <w:rFonts w:ascii="Arial" w:cs="Arial" w:eastAsia="Arial" w:hAnsi="Arial"/>
                <w:color w:val="1A1A1A"/>
                <w:sz w:val="19"/>
                <w:szCs w:val="19"/>
              </w:rPr>
              <w:t xml:space="preserve">8</w:t>
            </w:r>
          </w:p>
        </w:tc>
        <w:tc>
          <w:tcPr>
            <w:tcW w:type="dxa" w:w="50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Design critique, accessibility audits, style guides, UX</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Digital</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7</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SEO briefs, email campaigns, performance reports, analytics</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Copywriting</w:t>
            </w:r>
          </w:p>
        </w:tc>
        <w:tc>
          <w:tcPr>
            <w:tcW w:type="dxa" w:w="12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center"/>
            </w:pPr>
            <w:r>
              <w:rPr>
                <w:rFonts w:ascii="Arial" w:cs="Arial" w:eastAsia="Arial" w:hAnsi="Arial"/>
                <w:color w:val="1A1A1A"/>
                <w:sz w:val="19"/>
                <w:szCs w:val="19"/>
              </w:rPr>
              <w:t xml:space="preserve">7</w:t>
            </w:r>
          </w:p>
        </w:tc>
        <w:tc>
          <w:tcPr>
            <w:tcW w:type="dxa" w:w="50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Copy development, brand voice, social content, scripts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New Business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6</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Pitch decks, RFP responses, prospect briefs, proposals</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Project Management</w:t>
            </w:r>
          </w:p>
        </w:tc>
        <w:tc>
          <w:tcPr>
            <w:tcW w:type="dxa" w:w="12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center"/>
            </w:pPr>
            <w:r>
              <w:rPr>
                <w:rFonts w:ascii="Arial" w:cs="Arial" w:eastAsia="Arial" w:hAnsi="Arial"/>
                <w:color w:val="1A1A1A"/>
                <w:sz w:val="19"/>
                <w:szCs w:val="19"/>
              </w:rPr>
              <w:t xml:space="preserve">7</w:t>
            </w:r>
          </w:p>
        </w:tc>
        <w:tc>
          <w:tcPr>
            <w:tcW w:type="dxa" w:w="50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Planning, status reports, scope management, timelines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Studio Operations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9</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Process docs, budgeting, onboarding, resource planning</w:t>
            </w:r>
          </w:p>
        </w:tc>
      </w:tr>
    </w:tbl>
    <w:p>
      <w:pPr>
        <w:spacing w:before="200" w:after="0"/>
      </w:pPr>
    </w:p>
    <w:p>
      <w:pPr>
        <w:spacing w:before="280" w:after="140"/>
      </w:pPr>
      <w:r>
        <w:rPr>
          <w:rFonts w:ascii="Arial" w:cs="Arial" w:eastAsia="Arial" w:hAnsi="Arial"/>
          <w:b/>
          <w:bCs/>
          <w:color w:val="2E86AB"/>
          <w:sz w:val="24"/>
          <w:szCs w:val="24"/>
        </w:rPr>
        <w:t xml:space="preserve">2. Cowork Plugin Ecosystem (12 Plugins, 36 Commands)</w:t>
      </w:r>
    </w:p>
    <w:p>
      <w:pPr>
        <w:spacing w:before="80" w:after="80" w:line="320"/>
        <w:jc w:val="left"/>
      </w:pPr>
      <w:r>
        <w:rPr>
          <w:rFonts w:ascii="Arial" w:cs="Arial" w:eastAsia="Arial" w:hAnsi="Arial"/>
          <w:color w:val="1A1A1A"/>
          <w:sz w:val="21"/>
          <w:szCs w:val="21"/>
        </w:rPr>
        <w:t xml:space="preserve">Each plugin is a complete operational package containing a README, a plugin.json configuration, 3 slash-command workflows, and a domain expertise skill file. These turn Claude from a general assistant into a role-specific agency expert. The plugins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Plugin</w:t>
            </w:r>
          </w:p>
        </w:tc>
        <w:tc>
          <w:tcPr>
            <w:tcW w:type="dxa" w:w="656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Commands Included</w:t>
            </w:r>
          </w:p>
        </w:tc>
      </w:tr>
      <w:tr>
        <w:tc>
          <w:tcPr>
            <w:tcW w:type="dxa" w:w="28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Brand Strategy</w:t>
            </w:r>
          </w:p>
        </w:tc>
        <w:tc>
          <w:tcPr>
            <w:tcW w:type="dxa" w:w="656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/positioning, /competitor-analysis, /messaging-framework</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Campaign Mgmt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/project-plan, /status-report, /change-impact</w:t>
            </w:r>
          </w:p>
        </w:tc>
      </w:tr>
      <w:tr>
        <w:tc>
          <w:tcPr>
            <w:tcW w:type="dxa" w:w="28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Social Content</w:t>
            </w:r>
          </w:p>
        </w:tc>
        <w:tc>
          <w:tcPr>
            <w:tcW w:type="dxa" w:w="656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/social-posts, /content-calendar, /blog-outline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New Business Dev</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/pitch-deck, /rfp-response, /prospect-brief</w:t>
            </w:r>
          </w:p>
        </w:tc>
      </w:tr>
      <w:tr>
        <w:tc>
          <w:tcPr>
            <w:tcW w:type="dxa" w:w="28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Studio Operations</w:t>
            </w:r>
          </w:p>
        </w:tc>
        <w:tc>
          <w:tcPr>
            <w:tcW w:type="dxa" w:w="656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/budget-tracker, /onboarding-plan, /process-doc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Media Relations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/press-release, /media-pitch, /coverage-analysis</w:t>
            </w:r>
          </w:p>
        </w:tc>
      </w:tr>
      <w:tr>
        <w:tc>
          <w:tcPr>
            <w:tcW w:type="dxa" w:w="28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Crisis Comms</w:t>
            </w:r>
          </w:p>
        </w:tc>
        <w:tc>
          <w:tcPr>
            <w:tcW w:type="dxa" w:w="656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/crisis-response, /stakeholder-update, /media-statement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Client Experience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/meeting-notes, /proposal-builder, /client-health</w:t>
            </w:r>
          </w:p>
        </w:tc>
      </w:tr>
      <w:tr>
        <w:tc>
          <w:tcPr>
            <w:tcW w:type="dxa" w:w="28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Production</w:t>
            </w:r>
          </w:p>
        </w:tc>
        <w:tc>
          <w:tcPr>
            <w:tcW w:type="dxa" w:w="656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/production-brief, /shot-list, /spec-sheet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Design System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/design-review, /style-guide, /accessibility-audit</w:t>
            </w:r>
          </w:p>
        </w:tc>
      </w:tr>
      <w:tr>
        <w:tc>
          <w:tcPr>
            <w:tcW w:type="dxa" w:w="28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Digital Experience</w:t>
            </w:r>
          </w:p>
        </w:tc>
        <w:tc>
          <w:tcPr>
            <w:tcW w:type="dxa" w:w="656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/seo-brief, /email-campaign, /performance-report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Competitor Research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/feature-gaps, /improvement-plan, /landscape-map</w:t>
            </w:r>
          </w:p>
        </w:tc>
      </w:tr>
    </w:tbl>
    <w:p>
      <w:pPr>
        <w:spacing w:before="200" w:after="0"/>
      </w:pPr>
    </w:p>
    <w:p>
      <w:pPr>
        <w:spacing w:before="280" w:after="140"/>
      </w:pPr>
      <w:r>
        <w:rPr>
          <w:rFonts w:ascii="Arial" w:cs="Arial" w:eastAsia="Arial" w:hAnsi="Arial"/>
          <w:b/>
          <w:bCs/>
          <w:color w:val="2E86AB"/>
          <w:sz w:val="24"/>
          <w:szCs w:val="24"/>
        </w:rPr>
        <w:t xml:space="preserve">3. Comprehensive Getting-Started Guides (19 Guides)</w:t>
      </w:r>
    </w:p>
    <w:p>
      <w:pPr>
        <w:spacing w:before="80" w:after="80" w:line="320"/>
        <w:jc w:val="left"/>
      </w:pPr>
      <w:r>
        <w:rPr>
          <w:rFonts w:ascii="Arial" w:cs="Arial" w:eastAsia="Arial" w:hAnsi="Arial"/>
          <w:color w:val="1A1A1A"/>
          <w:sz w:val="21"/>
          <w:szCs w:val="21"/>
        </w:rPr>
        <w:t xml:space="preserve">The platform includes 19 detailed tutorials covering both Claude ecosystem tools and third-party AI platforms. Each guide features difficulty ratings, time estimates, step-by-step workflows, architecture explanations, and safety considerations. Tools covered include Claude Projects, Claude Code, Cowork, MCP Servers, Artifacts, Deep Research, Custom Skills, Chrome Extension, n8n Automation, Runway Video, ElevenLabs Voice, Perplexity AI, NotebookLM, AIDEN Studio, and Gamma Presentations.</w:t>
      </w:r>
    </w:p>
    <w:p>
      <w:pPr>
        <w:spacing w:before="280" w:after="140"/>
      </w:pPr>
      <w:r>
        <w:rPr>
          <w:rFonts w:ascii="Arial" w:cs="Arial" w:eastAsia="Arial" w:hAnsi="Arial"/>
          <w:b/>
          <w:bCs/>
          <w:color w:val="2E86AB"/>
          <w:sz w:val="24"/>
          <w:szCs w:val="24"/>
        </w:rPr>
        <w:t xml:space="preserve">4. Intelligent Navigation &amp; UX</w:t>
      </w:r>
    </w:p>
    <w:p>
      <w:pPr>
        <w:pStyle w:val="ListParagraph"/>
        <w:numPr>
          <w:ilvl w:val="0"/>
          <w:numId w:val="2"/>
        </w:numPr>
        <w:spacing w:before="60" w:after="60" w:line="300"/>
      </w:pPr>
      <w:r>
        <w:rPr>
          <w:rFonts w:ascii="Arial" w:cs="Arial" w:eastAsia="Arial" w:hAnsi="Arial"/>
          <w:b/>
          <w:bCs/>
          <w:color w:val="1A1A1A"/>
          <w:sz w:val="21"/>
          <w:szCs w:val="21"/>
        </w:rPr>
        <w:t xml:space="preserve">Command Palette (Cmd+K): </w:t>
      </w:r>
      <w:r>
        <w:rPr>
          <w:rFonts w:ascii="Arial" w:cs="Arial" w:eastAsia="Arial" w:hAnsi="Arial"/>
          <w:color w:val="1A1A1A"/>
          <w:sz w:val="21"/>
          <w:szCs w:val="21"/>
        </w:rPr>
        <w:t xml:space="preserve">Fuzzy search across all prompts via Fuse.js with keyboard-driven navigation.</w:t>
      </w:r>
    </w:p>
    <w:p>
      <w:pPr>
        <w:pStyle w:val="ListParagraph"/>
        <w:numPr>
          <w:ilvl w:val="0"/>
          <w:numId w:val="2"/>
        </w:numPr>
        <w:spacing w:before="60" w:after="60" w:line="300"/>
      </w:pPr>
      <w:r>
        <w:rPr>
          <w:rFonts w:ascii="Arial" w:cs="Arial" w:eastAsia="Arial" w:hAnsi="Arial"/>
          <w:b/>
          <w:bCs/>
          <w:color w:val="1A1A1A"/>
          <w:sz w:val="21"/>
          <w:szCs w:val="21"/>
        </w:rPr>
        <w:t xml:space="preserve">AI Chat Widget: </w:t>
      </w:r>
      <w:r>
        <w:rPr>
          <w:rFonts w:ascii="Arial" w:cs="Arial" w:eastAsia="Arial" w:hAnsi="Arial"/>
          <w:color w:val="1A1A1A"/>
          <w:sz w:val="21"/>
          <w:szCs w:val="21"/>
        </w:rPr>
        <w:t xml:space="preserve">Built-in assistant that recommends guides, prompts, and departments using Claude or Perplexity.</w:t>
      </w:r>
    </w:p>
    <w:p>
      <w:pPr>
        <w:pStyle w:val="ListParagraph"/>
        <w:numPr>
          <w:ilvl w:val="0"/>
          <w:numId w:val="2"/>
        </w:numPr>
        <w:spacing w:before="60" w:after="60" w:line="300"/>
      </w:pPr>
      <w:r>
        <w:rPr>
          <w:rFonts w:ascii="Arial" w:cs="Arial" w:eastAsia="Arial" w:hAnsi="Arial"/>
          <w:b/>
          <w:bCs/>
          <w:color w:val="1A1A1A"/>
          <w:sz w:val="21"/>
          <w:szCs w:val="21"/>
        </w:rPr>
        <w:t xml:space="preserve">Favorites &amp; Recents: </w:t>
      </w:r>
      <w:r>
        <w:rPr>
          <w:rFonts w:ascii="Arial" w:cs="Arial" w:eastAsia="Arial" w:hAnsi="Arial"/>
          <w:color w:val="1A1A1A"/>
          <w:sz w:val="21"/>
          <w:szCs w:val="21"/>
        </w:rPr>
        <w:t xml:space="preserve">Persistent user preferences stored locally with dedicated pages.</w:t>
      </w:r>
    </w:p>
    <w:p>
      <w:pPr>
        <w:pStyle w:val="ListParagraph"/>
        <w:numPr>
          <w:ilvl w:val="0"/>
          <w:numId w:val="2"/>
        </w:numPr>
        <w:spacing w:before="60" w:after="60" w:line="300"/>
      </w:pPr>
      <w:r>
        <w:rPr>
          <w:rFonts w:ascii="Arial" w:cs="Arial" w:eastAsia="Arial" w:hAnsi="Arial"/>
          <w:b/>
          <w:bCs/>
          <w:color w:val="1A1A1A"/>
          <w:sz w:val="21"/>
          <w:szCs w:val="21"/>
        </w:rPr>
        <w:t xml:space="preserve">Dark Mode: </w:t>
      </w:r>
      <w:r>
        <w:rPr>
          <w:rFonts w:ascii="Arial" w:cs="Arial" w:eastAsia="Arial" w:hAnsi="Arial"/>
          <w:color w:val="1A1A1A"/>
          <w:sz w:val="21"/>
          <w:szCs w:val="21"/>
        </w:rPr>
        <w:t xml:space="preserve">System-aware theming with manual toggle.</w:t>
      </w:r>
    </w:p>
    <w:p>
      <w:pPr>
        <w:pStyle w:val="ListParagraph"/>
        <w:numPr>
          <w:ilvl w:val="0"/>
          <w:numId w:val="2"/>
        </w:numPr>
        <w:spacing w:before="60" w:after="60" w:line="300"/>
      </w:pPr>
      <w:r>
        <w:rPr>
          <w:rFonts w:ascii="Arial" w:cs="Arial" w:eastAsia="Arial" w:hAnsi="Arial"/>
          <w:b/>
          <w:bCs/>
          <w:color w:val="1A1A1A"/>
          <w:sz w:val="21"/>
          <w:szCs w:val="21"/>
        </w:rPr>
        <w:t xml:space="preserve">Mobile Responsive: </w:t>
      </w:r>
      <w:r>
        <w:rPr>
          <w:rFonts w:ascii="Arial" w:cs="Arial" w:eastAsia="Arial" w:hAnsi="Arial"/>
          <w:color w:val="1A1A1A"/>
          <w:sz w:val="21"/>
          <w:szCs w:val="21"/>
        </w:rPr>
        <w:t xml:space="preserve">Full mobile drawer navigation with responsive layout.</w:t>
      </w:r>
    </w:p>
    <w:p>
      <w:pPr>
        <w:pStyle w:val="ListParagraph"/>
        <w:numPr>
          <w:ilvl w:val="0"/>
          <w:numId w:val="2"/>
        </w:numPr>
        <w:spacing w:before="60" w:after="60" w:line="300"/>
      </w:pPr>
      <w:r>
        <w:rPr>
          <w:rFonts w:ascii="Arial" w:cs="Arial" w:eastAsia="Arial" w:hAnsi="Arial"/>
          <w:b/>
          <w:bCs/>
          <w:color w:val="1A1A1A"/>
          <w:sz w:val="21"/>
          <w:szCs w:val="21"/>
        </w:rPr>
        <w:t xml:space="preserve">One-Click Actions: </w:t>
      </w:r>
      <w:r>
        <w:rPr>
          <w:rFonts w:ascii="Arial" w:cs="Arial" w:eastAsia="Arial" w:hAnsi="Arial"/>
          <w:color w:val="1A1A1A"/>
          <w:sz w:val="21"/>
          <w:szCs w:val="21"/>
        </w:rPr>
        <w:t xml:space="preserve">Copy prompts, open in Claude, download skill files — all with single clicks.</w:t>
      </w:r>
    </w:p>
    <w:p>
      <w:r>
        <w:br w:type="page"/>
      </w:r>
    </w:p>
    <w:p>
      <w:pPr>
        <w:spacing w:before="400" w:after="200"/>
      </w:pPr>
      <w:r>
        <w:rPr>
          <w:rFonts w:ascii="Arial" w:cs="Arial" w:eastAsia="Arial" w:hAnsi="Arial"/>
          <w:b/>
          <w:bCs/>
          <w:color w:val="1B2A4A"/>
          <w:sz w:val="28"/>
          <w:szCs w:val="28"/>
        </w:rPr>
        <w:t xml:space="preserve">VALUE ESTIMATION</w:t>
      </w:r>
    </w:p>
    <w:p>
      <w:pPr>
        <w:spacing w:before="280" w:after="140"/>
      </w:pPr>
      <w:r>
        <w:rPr>
          <w:rFonts w:ascii="Arial" w:cs="Arial" w:eastAsia="Arial" w:hAnsi="Arial"/>
          <w:b/>
          <w:bCs/>
          <w:color w:val="2E86AB"/>
          <w:sz w:val="24"/>
          <w:szCs w:val="24"/>
        </w:rPr>
        <w:t xml:space="preserve">Development Replacement Cost</w:t>
      </w:r>
    </w:p>
    <w:p>
      <w:pPr>
        <w:spacing w:before="80" w:after="80" w:line="320"/>
        <w:jc w:val="left"/>
      </w:pPr>
      <w:r>
        <w:rPr>
          <w:rFonts w:ascii="Arial" w:cs="Arial" w:eastAsia="Arial" w:hAnsi="Arial"/>
          <w:color w:val="1A1A1A"/>
          <w:sz w:val="21"/>
          <w:szCs w:val="21"/>
        </w:rPr>
        <w:t xml:space="preserve">Building this platform from scratch would require a cross-functional team of frontend engineers, UX designers, AI prompt engineers, and domain consultants. Based on current market rates for Next.js/React 19 development with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Component</w:t>
            </w:r>
          </w:p>
        </w:tc>
        <w:tc>
          <w:tcPr>
            <w:tcW w:type="dxa" w:w="26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Low Estimate</w:t>
            </w:r>
          </w:p>
        </w:tc>
        <w:tc>
          <w:tcPr>
            <w:tcW w:type="dxa" w:w="26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High Estimate</w:t>
            </w:r>
          </w:p>
        </w:tc>
      </w:tr>
      <w:tr>
        <w:tc>
          <w:tcPr>
            <w:tcW w:type="dxa" w:w="4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Next.js 16 Application (19K+ lines)</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$40,000</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$80,000</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76 Expert Prompts (research + writing)</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$30,000</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$60,000</w:t>
            </w:r>
          </w:p>
        </w:tc>
      </w:tr>
      <w:tr>
        <w:tc>
          <w:tcPr>
            <w:tcW w:type="dxa" w:w="4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12 Cowork Plugins (36 commands + skills)</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$25,000</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$50,000</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19 Tool Guides (research + documentation)</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$15,000</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$30,000</w:t>
            </w:r>
          </w:p>
        </w:tc>
      </w:tr>
      <w:tr>
        <w:tc>
          <w:tcPr>
            <w:tcW w:type="dxa" w:w="4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AI Chat API Integration</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$8,000</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$15,000</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UX Design &amp; Implementation</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$15,000</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$30,000</w:t>
            </w:r>
          </w:p>
        </w:tc>
      </w:tr>
      <w:tr>
        <w:tc>
          <w:tcPr>
            <w:tcW w:type="dxa" w:w="4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Testing, QA, Deployment Setup</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$10,000</w:t>
            </w:r>
          </w:p>
        </w:tc>
        <w:tc>
          <w:tcPr>
            <w:tcW w:type="dxa" w:w="26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$20,000</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Domain Expertise &amp; Consulting</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$20,000</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$50,000</w:t>
            </w:r>
          </w:p>
        </w:tc>
      </w:tr>
      <w:tr>
        <w:tc>
          <w:tcPr>
            <w:tcW w:type="dxa" w:w="40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TOTAL REPLACEMENT COST</w:t>
            </w:r>
          </w:p>
        </w:tc>
        <w:tc>
          <w:tcPr>
            <w:tcW w:type="dxa" w:w="26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right"/>
            </w:pPr>
            <w:r>
              <w:rPr>
                <w:rFonts w:ascii="Arial" w:cs="Arial" w:eastAsia="Arial" w:hAnsi="Arial"/>
                <w:b/>
                <w:bCs/>
                <w:color w:val="FFFFFF"/>
                <w:sz w:val="19"/>
                <w:szCs w:val="19"/>
              </w:rPr>
              <w:t xml:space="preserve">$163,000</w:t>
            </w:r>
          </w:p>
        </w:tc>
        <w:tc>
          <w:tcPr>
            <w:tcW w:type="dxa" w:w="26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right"/>
            </w:pPr>
            <w:r>
              <w:rPr>
                <w:rFonts w:ascii="Arial" w:cs="Arial" w:eastAsia="Arial" w:hAnsi="Arial"/>
                <w:b/>
                <w:bCs/>
                <w:color w:val="FFFFFF"/>
                <w:sz w:val="19"/>
                <w:szCs w:val="19"/>
              </w:rPr>
              <w:t xml:space="preserve">$335,000</w:t>
            </w:r>
          </w:p>
        </w:tc>
      </w:tr>
    </w:tbl>
    <w:p>
      <w:pPr>
        <w:spacing w:before="100" w:after="0"/>
      </w:pPr>
    </w:p>
    <w:p>
      <w:pPr>
        <w:spacing w:before="80" w:after="80" w:line="320"/>
        <w:jc w:val="left"/>
      </w:pPr>
      <w:r>
        <w:rPr>
          <w:rFonts w:ascii="Arial" w:cs="Arial" w:eastAsia="Arial" w:hAnsi="Arial"/>
          <w:i/>
          <w:iCs/>
          <w:color w:val="555555"/>
          <w:sz w:val="21"/>
          <w:szCs w:val="21"/>
        </w:rPr>
        <w:t xml:space="preserve">Source: Industry benchmarks from WildNet Edge, WebMobTech, Ptolemay, and AppInventiv SaaS development cost guides (2024–2025). Mid-scale AI SaaS applications with team features range $40K–$120K; enterprise-grade systems with governance run $150K–$300K+.</w:t>
      </w:r>
    </w:p>
    <w:p>
      <w:pPr>
        <w:spacing w:before="200" w:after="0"/>
      </w:pPr>
    </w:p>
    <w:p>
      <w:pPr>
        <w:spacing w:before="280" w:after="140"/>
      </w:pPr>
      <w:r>
        <w:rPr>
          <w:rFonts w:ascii="Arial" w:cs="Arial" w:eastAsia="Arial" w:hAnsi="Arial"/>
          <w:b/>
          <w:bCs/>
          <w:color w:val="2E86AB"/>
          <w:sz w:val="24"/>
          <w:szCs w:val="24"/>
        </w:rPr>
        <w:t xml:space="preserve">Market Comparable Pricing</w:t>
      </w:r>
    </w:p>
    <w:p>
      <w:pPr>
        <w:spacing w:before="80" w:after="80" w:line="320"/>
        <w:jc w:val="left"/>
      </w:pPr>
      <w:r>
        <w:rPr>
          <w:rFonts w:ascii="Arial" w:cs="Arial" w:eastAsia="Arial" w:hAnsi="Arial"/>
          <w:color w:val="1A1A1A"/>
          <w:sz w:val="21"/>
          <w:szCs w:val="21"/>
        </w:rPr>
        <w:t xml:space="preserve">Agency Tools v2 competes favorably against existing tools while offering deeper vertical 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W w:type="dxa" w:w="24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Comparable</w:t>
            </w:r>
          </w:p>
        </w:tc>
        <w:tc>
          <w:tcPr>
            <w:tcW w:type="dxa" w:w="20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Target</w:t>
            </w:r>
          </w:p>
        </w:tc>
        <w:tc>
          <w:tcPr>
            <w:tcW w:type="dxa" w:w="24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Pricing</w:t>
            </w:r>
          </w:p>
        </w:tc>
        <w:tc>
          <w:tcPr>
            <w:tcW w:type="dxa" w:w="24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Gap vs. Agency Tools</w:t>
            </w:r>
          </w:p>
        </w:tc>
      </w:tr>
      <w:tr>
        <w:tc>
          <w:tcPr>
            <w:tcW w:type="dxa" w:w="24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Jasper Teams</w:t>
            </w:r>
          </w:p>
        </w:tc>
        <w:tc>
          <w:tcPr>
            <w:tcW w:type="dxa" w:w="2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General Marketing</w:t>
            </w:r>
          </w:p>
        </w:tc>
        <w:tc>
          <w:tcPr>
            <w:tcW w:type="dxa" w:w="24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$125/mo per seat</w:t>
            </w:r>
          </w:p>
        </w:tc>
        <w:tc>
          <w:tcPr>
            <w:tcW w:type="dxa" w:w="24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No agency workflows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Writer.com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Enterprise Content</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$29–39/mo per seat</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No prompt library</w:t>
            </w:r>
          </w:p>
        </w:tc>
      </w:tr>
      <w:tr>
        <w:tc>
          <w:tcPr>
            <w:tcW w:type="dxa" w:w="24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Copy.ai Pro</w:t>
            </w:r>
          </w:p>
        </w:tc>
        <w:tc>
          <w:tcPr>
            <w:tcW w:type="dxa" w:w="2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Marketing Teams</w:t>
            </w:r>
          </w:p>
        </w:tc>
        <w:tc>
          <w:tcPr>
            <w:tcW w:type="dxa" w:w="24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$49/mo (5 seats)</w:t>
            </w:r>
          </w:p>
        </w:tc>
        <w:tc>
          <w:tcPr>
            <w:tcW w:type="dxa" w:w="24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No PR/comms focus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AIPRM Business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Prompt Mgmt</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$4,990/year</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No guides or plugins</w:t>
            </w:r>
          </w:p>
        </w:tc>
      </w:tr>
      <w:tr>
        <w:tc>
          <w:tcPr>
            <w:tcW w:type="dxa" w:w="24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Custom Build</w:t>
            </w:r>
          </w:p>
        </w:tc>
        <w:tc>
          <w:tcPr>
            <w:tcW w:type="dxa" w:w="20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Internal Tool</w:t>
            </w:r>
          </w:p>
        </w:tc>
        <w:tc>
          <w:tcPr>
            <w:tcW w:type="dxa" w:w="24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$150K–$300K+</w:t>
            </w:r>
          </w:p>
        </w:tc>
        <w:tc>
          <w:tcPr>
            <w:tcW w:type="dxa" w:w="24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12+ month timeline</w:t>
            </w:r>
          </w:p>
        </w:tc>
      </w:tr>
      <w:tr>
        <w:tc>
          <w:tcPr>
            <w:tcW w:type="dxa" w:w="240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Agency Tools v2</w:t>
            </w:r>
          </w:p>
        </w:tc>
        <w:tc>
          <w:tcPr>
            <w:tcW w:type="dxa" w:w="200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left"/>
            </w:pPr>
            <w:r>
              <w:rPr>
                <w:rFonts w:ascii="Arial" w:cs="Arial" w:eastAsia="Arial" w:hAnsi="Arial"/>
                <w:color w:val="1A1A1A"/>
                <w:sz w:val="19"/>
                <w:szCs w:val="19"/>
              </w:rPr>
              <w:t xml:space="preserve">PR/Comms Agencies</w:t>
            </w:r>
          </w:p>
        </w:tc>
        <w:tc>
          <w:tcPr>
            <w:tcW w:type="dxa" w:w="248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left"/>
            </w:pPr>
            <w:r>
              <w:rPr>
                <w:rFonts w:ascii="Arial" w:cs="Arial" w:eastAsia="Arial" w:hAnsi="Arial"/>
                <w:color w:val="1A1A1A"/>
                <w:sz w:val="19"/>
                <w:szCs w:val="19"/>
              </w:rPr>
              <w:t xml:space="preserve">See pricing tiers</w:t>
            </w:r>
          </w:p>
        </w:tc>
        <w:tc>
          <w:tcPr>
            <w:tcW w:type="dxa" w:w="248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left"/>
            </w:pPr>
            <w:r>
              <w:rPr>
                <w:rFonts w:ascii="Arial" w:cs="Arial" w:eastAsia="Arial" w:hAnsi="Arial"/>
                <w:color w:val="1A1A1A"/>
                <w:sz w:val="19"/>
                <w:szCs w:val="19"/>
              </w:rPr>
              <w:t xml:space="preserve">Purpose-built solution</w:t>
            </w:r>
          </w:p>
        </w:tc>
      </w:tr>
    </w:tbl>
    <w:p>
      <w:r>
        <w:br w:type="page"/>
      </w:r>
    </w:p>
    <w:p>
      <w:pPr>
        <w:spacing w:before="400" w:after="200"/>
      </w:pPr>
      <w:r>
        <w:rPr>
          <w:rFonts w:ascii="Arial" w:cs="Arial" w:eastAsia="Arial" w:hAnsi="Arial"/>
          <w:b/>
          <w:bCs/>
          <w:color w:val="1B2A4A"/>
          <w:sz w:val="28"/>
          <w:szCs w:val="28"/>
        </w:rPr>
        <w:t xml:space="preserve">ROI FOR AGENCY BUYERS</w:t>
      </w:r>
    </w:p>
    <w:p>
      <w:pPr>
        <w:spacing w:before="280" w:after="140"/>
      </w:pPr>
      <w:r>
        <w:rPr>
          <w:rFonts w:ascii="Arial" w:cs="Arial" w:eastAsia="Arial" w:hAnsi="Arial"/>
          <w:b/>
          <w:bCs/>
          <w:color w:val="2E86AB"/>
          <w:sz w:val="24"/>
          <w:szCs w:val="24"/>
        </w:rPr>
        <w:t xml:space="preserve">Productivity Gains</w:t>
      </w:r>
    </w:p>
    <w:p>
      <w:pPr>
        <w:spacing w:before="80" w:after="80" w:line="320"/>
        <w:jc w:val="left"/>
      </w:pPr>
      <w:r>
        <w:rPr>
          <w:rFonts w:ascii="Arial" w:cs="Arial" w:eastAsia="Arial" w:hAnsi="Arial"/>
          <w:color w:val="1A1A1A"/>
          <w:sz w:val="21"/>
          <w:szCs w:val="21"/>
        </w:rPr>
        <w:t xml:space="preserve">Research consistently shows AI implementation delivers measurable time and cost savings for agency teams. According to IBM and McKinsey data from 2024:</w:t>
      </w:r>
    </w:p>
    <w:p>
      <w:pPr>
        <w:pStyle w:val="ListParagraph"/>
        <w:numPr>
          <w:ilvl w:val="0"/>
          <w:numId w:val="2"/>
        </w:numPr>
        <w:spacing w:before="60" w:after="60" w:line="300"/>
      </w:pPr>
      <w:r>
        <w:rPr>
          <w:rFonts w:ascii="Arial" w:cs="Arial" w:eastAsia="Arial" w:hAnsi="Arial"/>
          <w:b/>
          <w:bCs/>
          <w:color w:val="1A1A1A"/>
          <w:sz w:val="21"/>
          <w:szCs w:val="21"/>
        </w:rPr>
        <w:t xml:space="preserve">5+ hours saved per team member per week </w:t>
      </w:r>
      <w:r>
        <w:rPr>
          <w:rFonts w:ascii="Arial" w:cs="Arial" w:eastAsia="Arial" w:hAnsi="Arial"/>
          <w:color w:val="1A1A1A"/>
          <w:sz w:val="21"/>
          <w:szCs w:val="21"/>
        </w:rPr>
        <w:t xml:space="preserve">through AI-assisted content creation, research synthesis, and reporting automation.</w:t>
      </w:r>
    </w:p>
    <w:p>
      <w:pPr>
        <w:pStyle w:val="ListParagraph"/>
        <w:numPr>
          <w:ilvl w:val="0"/>
          <w:numId w:val="2"/>
        </w:numPr>
        <w:spacing w:before="60" w:after="60" w:line="300"/>
      </w:pPr>
      <w:r>
        <w:rPr>
          <w:rFonts w:ascii="Arial" w:cs="Arial" w:eastAsia="Arial" w:hAnsi="Arial"/>
          <w:b/>
          <w:bCs/>
          <w:color w:val="1A1A1A"/>
          <w:sz w:val="21"/>
          <w:szCs w:val="21"/>
        </w:rPr>
        <w:t xml:space="preserve">20–30% higher campaign ROI </w:t>
      </w:r>
      <w:r>
        <w:rPr>
          <w:rFonts w:ascii="Arial" w:cs="Arial" w:eastAsia="Arial" w:hAnsi="Arial"/>
          <w:color w:val="1A1A1A"/>
          <w:sz w:val="21"/>
          <w:szCs w:val="21"/>
        </w:rPr>
        <w:t xml:space="preserve">when AI is used in creative development and audience targeting (McKinsey, 2024).</w:t>
      </w:r>
    </w:p>
    <w:p>
      <w:pPr>
        <w:pStyle w:val="ListParagraph"/>
        <w:numPr>
          <w:ilvl w:val="0"/>
          <w:numId w:val="2"/>
        </w:numPr>
        <w:spacing w:before="60" w:after="60" w:line="300"/>
      </w:pPr>
      <w:r>
        <w:rPr>
          <w:rFonts w:ascii="Arial" w:cs="Arial" w:eastAsia="Arial" w:hAnsi="Arial"/>
          <w:b/>
          <w:bCs/>
          <w:color w:val="1A1A1A"/>
          <w:sz w:val="21"/>
          <w:szCs w:val="21"/>
        </w:rPr>
        <w:t xml:space="preserve">$3.70 return for every $1 spent </w:t>
      </w:r>
      <w:r>
        <w:rPr>
          <w:rFonts w:ascii="Arial" w:cs="Arial" w:eastAsia="Arial" w:hAnsi="Arial"/>
          <w:color w:val="1A1A1A"/>
          <w:sz w:val="21"/>
          <w:szCs w:val="21"/>
        </w:rPr>
        <w:t xml:space="preserve">on generative AI tools on average across enterprise deployments.</w:t>
      </w:r>
    </w:p>
    <w:p>
      <w:pPr>
        <w:pStyle w:val="ListParagraph"/>
        <w:numPr>
          <w:ilvl w:val="0"/>
          <w:numId w:val="2"/>
        </w:numPr>
        <w:spacing w:before="60" w:after="60" w:line="300"/>
      </w:pPr>
      <w:r>
        <w:rPr>
          <w:rFonts w:ascii="Arial" w:cs="Arial" w:eastAsia="Arial" w:hAnsi="Arial"/>
          <w:b/>
          <w:bCs/>
          <w:color w:val="1A1A1A"/>
          <w:sz w:val="21"/>
          <w:szCs w:val="21"/>
        </w:rPr>
        <w:t xml:space="preserve">79% of marketers </w:t>
      </w:r>
      <w:r>
        <w:rPr>
          <w:rFonts w:ascii="Arial" w:cs="Arial" w:eastAsia="Arial" w:hAnsi="Arial"/>
          <w:color w:val="1A1A1A"/>
          <w:sz w:val="21"/>
          <w:szCs w:val="21"/>
        </w:rPr>
        <w:t xml:space="preserve">report increased operational efficiency from AI integration (CoSchedule, 2025).</w:t>
      </w:r>
    </w:p>
    <w:p>
      <w:pPr>
        <w:spacing w:before="200" w:after="0"/>
      </w:pPr>
    </w:p>
    <w:p>
      <w:pPr>
        <w:spacing w:before="280" w:after="140"/>
      </w:pPr>
      <w:r>
        <w:rPr>
          <w:rFonts w:ascii="Arial" w:cs="Arial" w:eastAsia="Arial" w:hAnsi="Arial"/>
          <w:b/>
          <w:bCs/>
          <w:color w:val="2E86AB"/>
          <w:sz w:val="24"/>
          <w:szCs w:val="24"/>
        </w:rPr>
        <w:t xml:space="preserve">Annual Savings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c>
          <w:tcPr>
            <w:tcW w:type="dxa" w:w="35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Metric</w:t>
            </w:r>
          </w:p>
        </w:tc>
        <w:tc>
          <w:tcPr>
            <w:tcW w:type="dxa" w:w="1953"/>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25-Person Agency</w:t>
            </w:r>
          </w:p>
        </w:tc>
        <w:tc>
          <w:tcPr>
            <w:tcW w:type="dxa" w:w="1953"/>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50-Person Agency</w:t>
            </w:r>
          </w:p>
        </w:tc>
        <w:tc>
          <w:tcPr>
            <w:tcW w:type="dxa" w:w="1954"/>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100-Person Agency</w:t>
            </w:r>
          </w:p>
        </w:tc>
      </w:tr>
      <w:tr>
        <w:tc>
          <w:tcPr>
            <w:tcW w:type="dxa" w:w="35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Hours saved/week (5 hrs × staff)</w:t>
            </w:r>
          </w:p>
        </w:tc>
        <w:tc>
          <w:tcPr>
            <w:tcW w:type="dxa" w:w="1953"/>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125 hrs</w:t>
            </w:r>
          </w:p>
        </w:tc>
        <w:tc>
          <w:tcPr>
            <w:tcW w:type="dxa" w:w="1953"/>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250 hrs</w:t>
            </w:r>
          </w:p>
        </w:tc>
        <w:tc>
          <w:tcPr>
            <w:tcW w:type="dxa" w:w="1954"/>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500 hrs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Value at $75/hr blended rate</w:t>
            </w:r>
          </w:p>
        </w:tc>
        <w:tc>
          <w:tcPr>
            <w:tcW w:type="dxa" w:w="1953"/>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$9,375/wk</w:t>
            </w:r>
          </w:p>
        </w:tc>
        <w:tc>
          <w:tcPr>
            <w:tcW w:type="dxa" w:w="1953"/>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$18,750/wk</w:t>
            </w:r>
          </w:p>
        </w:tc>
        <w:tc>
          <w:tcPr>
            <w:tcW w:type="dxa" w:w="1954"/>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$37,500/wk</w:t>
            </w:r>
          </w:p>
        </w:tc>
      </w:tr>
      <w:tr>
        <w:tc>
          <w:tcPr>
            <w:tcW w:type="dxa" w:w="35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Annual productivity gain</w:t>
            </w:r>
          </w:p>
        </w:tc>
        <w:tc>
          <w:tcPr>
            <w:tcW w:type="dxa" w:w="1953"/>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$487,500</w:t>
            </w:r>
          </w:p>
        </w:tc>
        <w:tc>
          <w:tcPr>
            <w:tcW w:type="dxa" w:w="1953"/>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$975,000</w:t>
            </w:r>
          </w:p>
        </w:tc>
        <w:tc>
          <w:tcPr>
            <w:tcW w:type="dxa" w:w="1954"/>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$1,950,000</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Tool consolidation savings/year</w:t>
            </w:r>
          </w:p>
        </w:tc>
        <w:tc>
          <w:tcPr>
            <w:tcW w:type="dxa" w:w="1953"/>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$22,800</w:t>
            </w:r>
          </w:p>
        </w:tc>
        <w:tc>
          <w:tcPr>
            <w:tcW w:type="dxa" w:w="1953"/>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$45,600</w:t>
            </w:r>
          </w:p>
        </w:tc>
        <w:tc>
          <w:tcPr>
            <w:tcW w:type="dxa" w:w="1954"/>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$91,200</w:t>
            </w:r>
          </w:p>
        </w:tc>
      </w:tr>
      <w:tr>
        <w:tc>
          <w:tcPr>
            <w:tcW w:type="dxa" w:w="350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Training cost avoidance/year</w:t>
            </w:r>
          </w:p>
        </w:tc>
        <w:tc>
          <w:tcPr>
            <w:tcW w:type="dxa" w:w="1953"/>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$25,000</w:t>
            </w:r>
          </w:p>
        </w:tc>
        <w:tc>
          <w:tcPr>
            <w:tcW w:type="dxa" w:w="1953"/>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$50,000</w:t>
            </w:r>
          </w:p>
        </w:tc>
        <w:tc>
          <w:tcPr>
            <w:tcW w:type="dxa" w:w="1954"/>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$100,000</w:t>
            </w:r>
          </w:p>
        </w:tc>
      </w:tr>
      <w:tr>
        <w:tc>
          <w:tcPr>
            <w:tcW w:type="dxa" w:w="350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TOTAL ANNUAL VALUE</w:t>
            </w:r>
          </w:p>
        </w:tc>
        <w:tc>
          <w:tcPr>
            <w:tcW w:type="dxa" w:w="1953"/>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right"/>
            </w:pPr>
            <w:r>
              <w:rPr>
                <w:rFonts w:ascii="Arial" w:cs="Arial" w:eastAsia="Arial" w:hAnsi="Arial"/>
                <w:b/>
                <w:bCs/>
                <w:color w:val="FFFFFF"/>
                <w:sz w:val="19"/>
                <w:szCs w:val="19"/>
              </w:rPr>
              <w:t xml:space="preserve">$535,300</w:t>
            </w:r>
          </w:p>
        </w:tc>
        <w:tc>
          <w:tcPr>
            <w:tcW w:type="dxa" w:w="1953"/>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right"/>
            </w:pPr>
            <w:r>
              <w:rPr>
                <w:rFonts w:ascii="Arial" w:cs="Arial" w:eastAsia="Arial" w:hAnsi="Arial"/>
                <w:b/>
                <w:bCs/>
                <w:color w:val="FFFFFF"/>
                <w:sz w:val="19"/>
                <w:szCs w:val="19"/>
              </w:rPr>
              <w:t xml:space="preserve">$1,070,600</w:t>
            </w:r>
          </w:p>
        </w:tc>
        <w:tc>
          <w:tcPr>
            <w:tcW w:type="dxa" w:w="1954"/>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pPr>
              <w:jc w:val="right"/>
            </w:pPr>
            <w:r>
              <w:rPr>
                <w:rFonts w:ascii="Arial" w:cs="Arial" w:eastAsia="Arial" w:hAnsi="Arial"/>
                <w:b/>
                <w:bCs/>
                <w:color w:val="FFFFFF"/>
                <w:sz w:val="19"/>
                <w:szCs w:val="19"/>
              </w:rPr>
              <w:t xml:space="preserve">$2,141,200</w:t>
            </w:r>
          </w:p>
        </w:tc>
      </w:tr>
    </w:tbl>
    <w:p>
      <w:pPr>
        <w:spacing w:before="100" w:after="0"/>
      </w:pPr>
    </w:p>
    <w:p>
      <w:pPr>
        <w:spacing w:before="80" w:after="80" w:line="320"/>
        <w:jc w:val="left"/>
      </w:pPr>
      <w:r>
        <w:rPr>
          <w:rFonts w:ascii="Arial" w:cs="Arial" w:eastAsia="Arial" w:hAnsi="Arial"/>
          <w:i/>
          <w:iCs/>
          <w:color w:val="555555"/>
          <w:sz w:val="21"/>
          <w:szCs w:val="21"/>
        </w:rPr>
        <w:t xml:space="preserve">Note: Productivity gains assume 50% team adoption with 5 hours/week savings per active user. Tool consolidation reflects replacement of separate Notion/Airtable + Jasper/Copy.ai subscriptions. Training avoidance based on reduced external AI consulting needs.</w:t>
      </w:r>
    </w:p>
    <w:p>
      <w:pPr>
        <w:spacing w:before="200" w:after="0"/>
      </w:pPr>
    </w:p>
    <w:p>
      <w:pPr>
        <w:spacing w:before="400" w:after="200"/>
      </w:pPr>
      <w:r>
        <w:rPr>
          <w:rFonts w:ascii="Arial" w:cs="Arial" w:eastAsia="Arial" w:hAnsi="Arial"/>
          <w:b/>
          <w:bCs/>
          <w:color w:val="1B2A4A"/>
          <w:sz w:val="28"/>
          <w:szCs w:val="28"/>
        </w:rPr>
        <w:t xml:space="preserve">MARKET OPPORTUNITY</w:t>
      </w:r>
    </w:p>
    <w:p>
      <w:pPr>
        <w:spacing w:before="80" w:after="80" w:line="320"/>
        <w:jc w:val="left"/>
      </w:pPr>
      <w:r>
        <w:rPr>
          <w:rFonts w:ascii="Arial" w:cs="Arial" w:eastAsia="Arial" w:hAnsi="Arial"/>
          <w:color w:val="1A1A1A"/>
          <w:sz w:val="21"/>
          <w:szCs w:val="21"/>
        </w:rPr>
        <w:t xml:space="preserve">The addressable market for AI implementation tools in the agency sector is significant and growing rapidly:</w:t>
      </w:r>
    </w:p>
    <w:p>
      <w:pPr>
        <w:pStyle w:val="ListParagraph"/>
        <w:numPr>
          <w:ilvl w:val="0"/>
          <w:numId w:val="2"/>
        </w:numPr>
        <w:spacing w:before="60" w:after="60" w:line="300"/>
      </w:pPr>
      <w:r>
        <w:rPr>
          <w:rFonts w:ascii="Arial" w:cs="Arial" w:eastAsia="Arial" w:hAnsi="Arial"/>
          <w:b/>
          <w:bCs/>
          <w:color w:val="1A1A1A"/>
          <w:sz w:val="21"/>
          <w:szCs w:val="21"/>
        </w:rPr>
        <w:t xml:space="preserve">91% of US ad agencies </w:t>
      </w:r>
      <w:r>
        <w:rPr>
          <w:rFonts w:ascii="Arial" w:cs="Arial" w:eastAsia="Arial" w:hAnsi="Arial"/>
          <w:color w:val="1A1A1A"/>
          <w:sz w:val="21"/>
          <w:szCs w:val="21"/>
        </w:rPr>
        <w:t xml:space="preserve">are currently using or exploring generative AI (Forrester, 2024).</w:t>
      </w:r>
    </w:p>
    <w:p>
      <w:pPr>
        <w:pStyle w:val="ListParagraph"/>
        <w:numPr>
          <w:ilvl w:val="0"/>
          <w:numId w:val="2"/>
        </w:numPr>
        <w:spacing w:before="60" w:after="60" w:line="300"/>
      </w:pPr>
      <w:r>
        <w:rPr>
          <w:rFonts w:ascii="Arial" w:cs="Arial" w:eastAsia="Arial" w:hAnsi="Arial"/>
          <w:b/>
          <w:bCs/>
          <w:color w:val="1A1A1A"/>
          <w:sz w:val="21"/>
          <w:szCs w:val="21"/>
        </w:rPr>
        <w:t xml:space="preserve">74% of agencies </w:t>
      </w:r>
      <w:r>
        <w:rPr>
          <w:rFonts w:ascii="Arial" w:cs="Arial" w:eastAsia="Arial" w:hAnsi="Arial"/>
          <w:color w:val="1A1A1A"/>
          <w:sz w:val="21"/>
          <w:szCs w:val="21"/>
        </w:rPr>
        <w:t xml:space="preserve">use GenAI to ideate creative concepts — yet lack centralized management.</w:t>
      </w:r>
    </w:p>
    <w:p>
      <w:pPr>
        <w:pStyle w:val="ListParagraph"/>
        <w:numPr>
          <w:ilvl w:val="0"/>
          <w:numId w:val="2"/>
        </w:numPr>
        <w:spacing w:before="60" w:after="60" w:line="300"/>
      </w:pPr>
      <w:r>
        <w:rPr>
          <w:rFonts w:ascii="Arial" w:cs="Arial" w:eastAsia="Arial" w:hAnsi="Arial"/>
          <w:b/>
          <w:bCs/>
          <w:color w:val="1A1A1A"/>
          <w:sz w:val="21"/>
          <w:szCs w:val="21"/>
        </w:rPr>
        <w:t xml:space="preserve">67% cite training </w:t>
      </w:r>
      <w:r>
        <w:rPr>
          <w:rFonts w:ascii="Arial" w:cs="Arial" w:eastAsia="Arial" w:hAnsi="Arial"/>
          <w:color w:val="1A1A1A"/>
          <w:sz w:val="21"/>
          <w:szCs w:val="21"/>
        </w:rPr>
        <w:t xml:space="preserve">as their biggest barrier to AI adoption, which this platform directly solves.</w:t>
      </w:r>
    </w:p>
    <w:p>
      <w:pPr>
        <w:pStyle w:val="ListParagraph"/>
        <w:numPr>
          <w:ilvl w:val="0"/>
          <w:numId w:val="2"/>
        </w:numPr>
        <w:spacing w:before="60" w:after="60" w:line="300"/>
      </w:pPr>
      <w:r>
        <w:rPr>
          <w:rFonts w:ascii="Arial" w:cs="Arial" w:eastAsia="Arial" w:hAnsi="Arial"/>
          <w:b/>
          <w:bCs/>
          <w:color w:val="1A1A1A"/>
          <w:sz w:val="21"/>
          <w:szCs w:val="21"/>
        </w:rPr>
        <w:t xml:space="preserve">Enterprise AI spending grew 3.2× </w:t>
      </w:r>
      <w:r>
        <w:rPr>
          <w:rFonts w:ascii="Arial" w:cs="Arial" w:eastAsia="Arial" w:hAnsi="Arial"/>
          <w:color w:val="1A1A1A"/>
          <w:sz w:val="21"/>
          <w:szCs w:val="21"/>
        </w:rPr>
        <w:t xml:space="preserve">year-over-year in 2025, reaching $37 billion (Menlo Ventures).</w:t>
      </w:r>
    </w:p>
    <w:p>
      <w:pPr>
        <w:pStyle w:val="ListParagraph"/>
        <w:numPr>
          <w:ilvl w:val="0"/>
          <w:numId w:val="2"/>
        </w:numPr>
        <w:spacing w:before="60" w:after="60" w:line="300"/>
      </w:pPr>
      <w:r>
        <w:rPr>
          <w:rFonts w:ascii="Arial" w:cs="Arial" w:eastAsia="Arial" w:hAnsi="Arial"/>
          <w:b/>
          <w:bCs/>
          <w:color w:val="1A1A1A"/>
          <w:sz w:val="21"/>
          <w:szCs w:val="21"/>
        </w:rPr>
        <w:t xml:space="preserve">76% of AI use cases </w:t>
      </w:r>
      <w:r>
        <w:rPr>
          <w:rFonts w:ascii="Arial" w:cs="Arial" w:eastAsia="Arial" w:hAnsi="Arial"/>
          <w:color w:val="1A1A1A"/>
          <w:sz w:val="21"/>
          <w:szCs w:val="21"/>
        </w:rPr>
        <w:t xml:space="preserve">are purchased rather than built internally (TROOTECH, 2024).</w:t>
      </w:r>
    </w:p>
    <w:p>
      <w:pPr>
        <w:spacing w:before="200" w:after="0"/>
      </w:pPr>
    </w:p>
    <w:p>
      <w:pPr>
        <w:spacing w:before="280" w:after="140"/>
      </w:pPr>
      <w:r>
        <w:rPr>
          <w:rFonts w:ascii="Arial" w:cs="Arial" w:eastAsia="Arial" w:hAnsi="Arial"/>
          <w:b/>
          <w:bCs/>
          <w:color w:val="2E86AB"/>
          <w:sz w:val="24"/>
          <w:szCs w:val="24"/>
        </w:rPr>
        <w:t xml:space="preserve">Pain Points This Platform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Agency Pain Point</w:t>
            </w:r>
          </w:p>
        </w:tc>
        <w:tc>
          <w:tcPr>
            <w:tcW w:type="dxa" w:w="312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Industry Data</w:t>
            </w:r>
          </w:p>
        </w:tc>
        <w:tc>
          <w:tcPr>
            <w:tcW w:type="dxa" w:w="312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How Agency Tools Solves It</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Inconsistent AI usage across teams</w:t>
            </w:r>
          </w:p>
        </w:tc>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Only 53% of small agencies use AI vs 78% of large ones</w:t>
            </w:r>
          </w:p>
        </w:tc>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Unified prompt library organized by department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Lack of training &amp; education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67% cite this as primary barrier (up from 64% YoY)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19 built-in guides with difficulty levels &amp; time estimates</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IP, compliance &amp; governance</w:t>
            </w:r>
          </w:p>
        </w:tc>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94% cite IP/attribution concerns</w:t>
            </w:r>
          </w:p>
        </w:tc>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Centralized, auditable prompt management system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Tool fragmentation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Teams use 3–5 separate AI tools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Single platform consolidating prompts, plugins, and guides</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Steep learning curve</w:t>
            </w:r>
          </w:p>
        </w:tc>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45% of PR pros struggle to keep up</w:t>
            </w:r>
          </w:p>
        </w:tc>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color w:val="1A1A1A"/>
                <w:sz w:val="19"/>
                <w:szCs w:val="19"/>
              </w:rPr>
              <w:t xml:space="preserve">AI chat assistant recommends relevant resources contextually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No agency-specific solutions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Generic tools lack PR/comms workflows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color w:val="1A1A1A"/>
                <w:sz w:val="19"/>
                <w:szCs w:val="19"/>
              </w:rPr>
              <w:t xml:space="preserve">Purpose-built for agency disciplines and workflows</w:t>
            </w:r>
          </w:p>
        </w:tc>
      </w:tr>
    </w:tbl>
    <w:p>
      <w:r>
        <w:br w:type="page"/>
      </w:r>
    </w:p>
    <w:p>
      <w:pPr>
        <w:spacing w:before="400" w:after="200"/>
      </w:pPr>
      <w:r>
        <w:rPr>
          <w:rFonts w:ascii="Arial" w:cs="Arial" w:eastAsia="Arial" w:hAnsi="Arial"/>
          <w:b/>
          <w:bCs/>
          <w:color w:val="1B2A4A"/>
          <w:sz w:val="28"/>
          <w:szCs w:val="28"/>
        </w:rPr>
        <w:t xml:space="preserve">RECOMMENDED PRICING TIERS</w:t>
      </w:r>
    </w:p>
    <w:p>
      <w:pPr>
        <w:spacing w:before="80" w:after="80" w:line="320"/>
        <w:jc w:val="left"/>
      </w:pPr>
      <w:r>
        <w:rPr>
          <w:rFonts w:ascii="Arial" w:cs="Arial" w:eastAsia="Arial" w:hAnsi="Arial"/>
          <w:color w:val="1A1A1A"/>
          <w:sz w:val="21"/>
          <w:szCs w:val="21"/>
        </w:rPr>
        <w:t xml:space="preserve">Based on competitive analysis and value-based pricing against comparable platforms (Jasper $125/seat, Writer $29–39/seat, AIPRM $4,990/year), the following tiered structure maximizes addressable market while reflecting the platform’s unique agency-specific value: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
            </w:r>
          </w:p>
        </w:tc>
        <w:tc>
          <w:tcPr>
            <w:tcW w:type="dxa" w:w="234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STARTER</w:t>
            </w:r>
          </w:p>
        </w:tc>
        <w:tc>
          <w:tcPr>
            <w:tcW w:type="dxa" w:w="234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PROFESSIONAL</w:t>
            </w:r>
          </w:p>
        </w:tc>
        <w:tc>
          <w:tcPr>
            <w:tcW w:type="dxa" w:w="234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ENTERPRISE</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Monthly Price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$499/mo</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b/>
                <w:bCs/>
                <w:color w:val="1A1A1A"/>
                <w:sz w:val="19"/>
                <w:szCs w:val="19"/>
              </w:rPr>
              <w:t xml:space="preserve">$1,499/mo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1A1A1A"/>
                <w:sz w:val="19"/>
                <w:szCs w:val="19"/>
              </w:rPr>
              <w:t xml:space="preserve">$3,999/mo</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Annual Price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$4,990/yr</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b/>
                <w:bCs/>
                <w:color w:val="1A1A1A"/>
                <w:sz w:val="19"/>
                <w:szCs w:val="19"/>
              </w:rPr>
              <w:t xml:space="preserve">$14,990/yr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1A1A1A"/>
                <w:sz w:val="19"/>
                <w:szCs w:val="19"/>
              </w:rPr>
              <w:t xml:space="preserve">$39,990/yr</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Team Size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Up to 10 users</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Up to 30 users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Unlimited users</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Prompt Library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All 76 prompts</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All 76 prompts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All 76 + custom</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Cowork Plugins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4 plugins</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All 12 plugins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All 12 + custom</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Guides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All 19 guides</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All 19 guides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All + custom training</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Chat Widget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Included</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Included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Included</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Custom Branding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Included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Included</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Dedicated 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Email 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Slack + onboarding</w:t>
            </w:r>
          </w:p>
        </w:tc>
      </w:tr>
      <w:tr>
        <w:tc>
          <w:tcPr>
            <w:tcW w:type="dxa" w:w="234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Custom Prompts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w:t>
            </w:r>
          </w:p>
        </w:tc>
        <w:tc>
          <w:tcPr>
            <w:tcW w:type="dxa" w:w="2340"/>
            <w:tcBorders>
              <w:top w:val="single" w:color="DDDDDD" w:sz="1"/>
              <w:left w:val="single" w:color="DDDDDD" w:sz="1"/>
              <w:bottom w:val="single" w:color="DDDDDD" w:sz="1"/>
              <w:right w:val="single" w:color="DDDDDD" w:sz="1"/>
            </w:tcBorders>
            <w:shd w:fill="E8F4F8" w:val="clear"/>
            <w:tcMar>
              <w:top w:type="dxa" w:w="100"/>
              <w:left w:type="dxa" w:w="150"/>
              <w:bottom w:type="dxa" w:w="100"/>
              <w:right w:type="dxa" w:w="150"/>
            </w:tcMar>
          </w:tcPr>
          <w:p>
            <w:pPr>
              <w:jc w:val="center"/>
            </w:pPr>
            <w:r>
              <w:rPr>
                <w:rFonts w:ascii="Arial" w:cs="Arial" w:eastAsia="Arial" w:hAnsi="Arial"/>
                <w:color w:val="1A1A1A"/>
                <w:sz w:val="19"/>
                <w:szCs w:val="19"/>
              </w:rPr>
              <w:t xml:space="preserv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1A1A1A"/>
                <w:sz w:val="19"/>
                <w:szCs w:val="19"/>
              </w:rPr>
              <w:t xml:space="preserve">Up to 50 custom</w:t>
            </w:r>
          </w:p>
        </w:tc>
      </w:tr>
    </w:tbl>
    <w:p>
      <w:pPr>
        <w:spacing w:before="200" w:after="0"/>
      </w:pPr>
    </w:p>
    <w:p>
      <w:pPr>
        <w:spacing w:before="280" w:after="140"/>
      </w:pPr>
      <w:r>
        <w:rPr>
          <w:rFonts w:ascii="Arial" w:cs="Arial" w:eastAsia="Arial" w:hAnsi="Arial"/>
          <w:b/>
          <w:bCs/>
          <w:color w:val="2E86AB"/>
          <w:sz w:val="24"/>
          <w:szCs w:val="24"/>
        </w:rPr>
        <w:t xml:space="preserve">Revenue Projections (SaaS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Scenario</w:t>
            </w:r>
          </w:p>
        </w:tc>
        <w:tc>
          <w:tcPr>
            <w:tcW w:type="dxa" w:w="20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Year 1</w:t>
            </w:r>
          </w:p>
        </w:tc>
        <w:tc>
          <w:tcPr>
            <w:tcW w:type="dxa" w:w="20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Year 2</w:t>
            </w:r>
          </w:p>
        </w:tc>
        <w:tc>
          <w:tcPr>
            <w:tcW w:type="dxa" w:w="2080"/>
            <w:tcBorders>
              <w:top w:val="single" w:color="DDDDDD" w:sz="1"/>
              <w:left w:val="single" w:color="DDDDDD" w:sz="1"/>
              <w:bottom w:val="single" w:color="DDDDDD" w:sz="1"/>
              <w:right w:val="single" w:color="DDDDDD" w:sz="1"/>
            </w:tcBorders>
            <w:shd w:fill="1B2A4A" w:val="clear"/>
            <w:tcMar>
              <w:top w:type="dxa" w:w="100"/>
              <w:left w:type="dxa" w:w="150"/>
              <w:bottom w:type="dxa" w:w="100"/>
              <w:right w:type="dxa" w:w="150"/>
            </w:tcMar>
          </w:tcPr>
          <w:p>
            <w:r>
              <w:rPr>
                <w:rFonts w:ascii="Arial" w:cs="Arial" w:eastAsia="Arial" w:hAnsi="Arial"/>
                <w:b/>
                <w:bCs/>
                <w:color w:val="FFFFFF"/>
                <w:sz w:val="19"/>
                <w:szCs w:val="19"/>
              </w:rPr>
              <w:t xml:space="preserve">Year 3</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Conservative (15 clients avg)</w:t>
            </w:r>
          </w:p>
        </w:tc>
        <w:tc>
          <w:tcPr>
            <w:tcW w:type="dxa" w:w="20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$179,700</w:t>
            </w:r>
          </w:p>
        </w:tc>
        <w:tc>
          <w:tcPr>
            <w:tcW w:type="dxa" w:w="20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$359,400</w:t>
            </w:r>
          </w:p>
        </w:tc>
        <w:tc>
          <w:tcPr>
            <w:tcW w:type="dxa" w:w="20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$539,100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Moderate (30 clients avg)</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$359,400</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$598,800</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right"/>
            </w:pPr>
            <w:r>
              <w:rPr>
                <w:rFonts w:ascii="Arial" w:cs="Arial" w:eastAsia="Arial" w:hAnsi="Arial"/>
                <w:color w:val="1A1A1A"/>
                <w:sz w:val="19"/>
                <w:szCs w:val="19"/>
              </w:rPr>
              <w:t xml:space="preserve">$898,200</w:t>
            </w:r>
          </w:p>
        </w:tc>
      </w:tr>
      <w:tr>
        <w:tc>
          <w:tcPr>
            <w:tcW w:type="dxa" w:w="312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left"/>
            </w:pPr>
            <w:r>
              <w:rPr>
                <w:rFonts w:ascii="Arial" w:cs="Arial" w:eastAsia="Arial" w:hAnsi="Arial"/>
                <w:b/>
                <w:bCs/>
                <w:color w:val="1A1A1A"/>
                <w:sz w:val="19"/>
                <w:szCs w:val="19"/>
              </w:rPr>
              <w:t xml:space="preserve">Aggressive (50 clients avg)</w:t>
            </w:r>
          </w:p>
        </w:tc>
        <w:tc>
          <w:tcPr>
            <w:tcW w:type="dxa" w:w="20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$599,400</w:t>
            </w:r>
          </w:p>
        </w:tc>
        <w:tc>
          <w:tcPr>
            <w:tcW w:type="dxa" w:w="20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$998,400</w:t>
            </w:r>
          </w:p>
        </w:tc>
        <w:tc>
          <w:tcPr>
            <w:tcW w:type="dxa" w:w="2080"/>
            <w:tcBorders>
              <w:top w:val="single" w:color="DDDDDD" w:sz="1"/>
              <w:left w:val="single" w:color="DDDDDD" w:sz="1"/>
              <w:bottom w:val="single" w:color="DDDDDD" w:sz="1"/>
              <w:right w:val="single" w:color="DDDDDD" w:sz="1"/>
            </w:tcBorders>
            <w:shd w:fill="F0F6FA" w:val="clear"/>
            <w:tcMar>
              <w:top w:type="dxa" w:w="100"/>
              <w:left w:type="dxa" w:w="150"/>
              <w:bottom w:type="dxa" w:w="100"/>
              <w:right w:type="dxa" w:w="150"/>
            </w:tcMar>
          </w:tcPr>
          <w:p>
            <w:pPr>
              <w:jc w:val="right"/>
            </w:pPr>
            <w:r>
              <w:rPr>
                <w:rFonts w:ascii="Arial" w:cs="Arial" w:eastAsia="Arial" w:hAnsi="Arial"/>
                <w:color w:val="1A1A1A"/>
                <w:sz w:val="19"/>
                <w:szCs w:val="19"/>
              </w:rPr>
              <w:t xml:space="preserve">$1,497,600</w:t>
            </w:r>
          </w:p>
        </w:tc>
      </w:tr>
    </w:tbl>
    <w:p>
      <w:pPr>
        <w:spacing w:before="100" w:after="0"/>
      </w:pPr>
    </w:p>
    <w:p>
      <w:pPr>
        <w:spacing w:before="80" w:after="80" w:line="320"/>
        <w:jc w:val="left"/>
      </w:pPr>
      <w:r>
        <w:rPr>
          <w:rFonts w:ascii="Arial" w:cs="Arial" w:eastAsia="Arial" w:hAnsi="Arial"/>
          <w:i/>
          <w:iCs/>
          <w:color w:val="555555"/>
          <w:sz w:val="21"/>
          <w:szCs w:val="21"/>
        </w:rPr>
        <w:t xml:space="preserve">Projections assume blended average of $999/month across tiers. Conservative scenario based on organic growth; moderate includes content marketing and partnerships; aggressive includes sales team and conference presence.</w:t>
      </w:r>
    </w:p>
    <w:p>
      <w:pPr>
        <w:spacing w:before="200" w:after="0"/>
      </w:pPr>
    </w:p>
    <w:p>
      <w:pPr>
        <w:spacing w:before="280" w:after="140"/>
      </w:pPr>
      <w:r>
        <w:rPr>
          <w:rFonts w:ascii="Arial" w:cs="Arial" w:eastAsia="Arial" w:hAnsi="Arial"/>
          <w:b/>
          <w:bCs/>
          <w:color w:val="2E86AB"/>
          <w:sz w:val="24"/>
          <w:szCs w:val="24"/>
        </w:rPr>
        <w:t xml:space="preserve">Alternative: One-Time License Sale</w:t>
      </w:r>
    </w:p>
    <w:p>
      <w:pPr>
        <w:spacing w:before="80" w:after="80" w:line="320"/>
        <w:jc w:val="left"/>
      </w:pPr>
      <w:r>
        <w:rPr>
          <w:rFonts w:ascii="Arial" w:cs="Arial" w:eastAsia="Arial" w:hAnsi="Arial"/>
          <w:color w:val="1A1A1A"/>
          <w:sz w:val="21"/>
          <w:szCs w:val="21"/>
        </w:rPr>
        <w:t xml:space="preserve">For agencies preferring to own rather than subscribe, or for a holding company seeking a white-label solution:</w:t>
      </w:r>
    </w:p>
    <w:p>
      <w:pPr>
        <w:pStyle w:val="ListParagraph"/>
        <w:numPr>
          <w:ilvl w:val="0"/>
          <w:numId w:val="2"/>
        </w:numPr>
        <w:spacing w:before="60" w:after="60" w:line="300"/>
      </w:pPr>
      <w:r>
        <w:rPr>
          <w:rFonts w:ascii="Arial" w:cs="Arial" w:eastAsia="Arial" w:hAnsi="Arial"/>
          <w:b/>
          <w:bCs/>
          <w:color w:val="1A1A1A"/>
          <w:sz w:val="21"/>
          <w:szCs w:val="21"/>
        </w:rPr>
        <w:t xml:space="preserve">Single Agency License: </w:t>
      </w:r>
      <w:r>
        <w:rPr>
          <w:rFonts w:ascii="Arial" w:cs="Arial" w:eastAsia="Arial" w:hAnsi="Arial"/>
          <w:color w:val="1A1A1A"/>
          <w:sz w:val="21"/>
          <w:szCs w:val="21"/>
        </w:rPr>
        <w:t xml:space="preserve">$25,000–$50,000 one-time, includes source code, deployment support, and 6 months of updates.</w:t>
      </w:r>
    </w:p>
    <w:p>
      <w:pPr>
        <w:pStyle w:val="ListParagraph"/>
        <w:numPr>
          <w:ilvl w:val="0"/>
          <w:numId w:val="2"/>
        </w:numPr>
        <w:spacing w:before="60" w:after="60" w:line="300"/>
      </w:pPr>
      <w:r>
        <w:rPr>
          <w:rFonts w:ascii="Arial" w:cs="Arial" w:eastAsia="Arial" w:hAnsi="Arial"/>
          <w:b/>
          <w:bCs/>
          <w:color w:val="1A1A1A"/>
          <w:sz w:val="21"/>
          <w:szCs w:val="21"/>
        </w:rPr>
        <w:t xml:space="preserve">Holding Company License: </w:t>
      </w:r>
      <w:r>
        <w:rPr>
          <w:rFonts w:ascii="Arial" w:cs="Arial" w:eastAsia="Arial" w:hAnsi="Arial"/>
          <w:color w:val="1A1A1A"/>
          <w:sz w:val="21"/>
          <w:szCs w:val="21"/>
        </w:rPr>
        <w:t xml:space="preserve">$75,000–$150,000 one-time, includes white-label rights for subsidiary agencies.</w:t>
      </w:r>
    </w:p>
    <w:p>
      <w:pPr>
        <w:pStyle w:val="ListParagraph"/>
        <w:numPr>
          <w:ilvl w:val="0"/>
          <w:numId w:val="2"/>
        </w:numPr>
        <w:spacing w:before="60" w:after="60" w:line="300"/>
      </w:pPr>
      <w:r>
        <w:rPr>
          <w:rFonts w:ascii="Arial" w:cs="Arial" w:eastAsia="Arial" w:hAnsi="Arial"/>
          <w:b/>
          <w:bCs/>
          <w:color w:val="1A1A1A"/>
          <w:sz w:val="21"/>
          <w:szCs w:val="21"/>
        </w:rPr>
        <w:t xml:space="preserve">Full IP Acquisition: </w:t>
      </w:r>
      <w:r>
        <w:rPr>
          <w:rFonts w:ascii="Arial" w:cs="Arial" w:eastAsia="Arial" w:hAnsi="Arial"/>
          <w:color w:val="1A1A1A"/>
          <w:sz w:val="21"/>
          <w:szCs w:val="21"/>
        </w:rPr>
        <w:t xml:space="preserve">$150,000–$350,000, includes all intellectual property, source code, prompt library, plugin ecosystem, and exclusive rights.</w:t>
      </w:r>
    </w:p>
    <w:p>
      <w:r>
        <w:br w:type="page"/>
      </w:r>
    </w:p>
    <w:p>
      <w:pPr>
        <w:spacing w:before="400" w:after="200"/>
      </w:pPr>
      <w:r>
        <w:rPr>
          <w:rFonts w:ascii="Arial" w:cs="Arial" w:eastAsia="Arial" w:hAnsi="Arial"/>
          <w:b/>
          <w:bCs/>
          <w:color w:val="1B2A4A"/>
          <w:sz w:val="28"/>
          <w:szCs w:val="28"/>
        </w:rPr>
        <w:t xml:space="preserve">TECHNICAL ASSESSMENT</w:t>
      </w:r>
    </w:p>
    <w:p>
      <w:pPr>
        <w:spacing w:before="280" w:after="140"/>
      </w:pPr>
      <w:r>
        <w:rPr>
          <w:rFonts w:ascii="Arial" w:cs="Arial" w:eastAsia="Arial" w:hAnsi="Arial"/>
          <w:b/>
          <w:bCs/>
          <w:color w:val="2E86AB"/>
          <w:sz w:val="24"/>
          <w:szCs w:val="24"/>
        </w:rPr>
        <w:t xml:space="preserve">Architecture Quality</w:t>
      </w:r>
    </w:p>
    <w:p>
      <w:pPr>
        <w:spacing w:before="80" w:after="80" w:line="320"/>
        <w:jc w:val="left"/>
      </w:pPr>
      <w:r>
        <w:rPr>
          <w:rFonts w:ascii="Arial" w:cs="Arial" w:eastAsia="Arial" w:hAnsi="Arial"/>
          <w:color w:val="1A1A1A"/>
          <w:sz w:val="21"/>
          <w:szCs w:val="21"/>
        </w:rPr>
        <w:t xml:space="preserve">The platform is built on a modern, production-grade stack that reflects current best practices in web development:</w:t>
      </w:r>
    </w:p>
    <w:p>
      <w:pPr>
        <w:pStyle w:val="ListParagraph"/>
        <w:numPr>
          <w:ilvl w:val="0"/>
          <w:numId w:val="2"/>
        </w:numPr>
        <w:spacing w:before="60" w:after="60" w:line="300"/>
      </w:pPr>
      <w:r>
        <w:rPr>
          <w:rFonts w:ascii="Arial" w:cs="Arial" w:eastAsia="Arial" w:hAnsi="Arial"/>
          <w:b/>
          <w:bCs/>
          <w:color w:val="1A1A1A"/>
          <w:sz w:val="21"/>
          <w:szCs w:val="21"/>
        </w:rPr>
        <w:t xml:space="preserve">Framework: </w:t>
      </w:r>
      <w:r>
        <w:rPr>
          <w:rFonts w:ascii="Arial" w:cs="Arial" w:eastAsia="Arial" w:hAnsi="Arial"/>
          <w:color w:val="1A1A1A"/>
          <w:sz w:val="21"/>
          <w:szCs w:val="21"/>
        </w:rPr>
        <w:t xml:space="preserve">Next.js 16.1.6 with React 19.2.3 (App Router) — the latest stable releases with server component support.</w:t>
      </w:r>
    </w:p>
    <w:p>
      <w:pPr>
        <w:pStyle w:val="ListParagraph"/>
        <w:numPr>
          <w:ilvl w:val="0"/>
          <w:numId w:val="2"/>
        </w:numPr>
        <w:spacing w:before="60" w:after="60" w:line="300"/>
      </w:pPr>
      <w:r>
        <w:rPr>
          <w:rFonts w:ascii="Arial" w:cs="Arial" w:eastAsia="Arial" w:hAnsi="Arial"/>
          <w:b/>
          <w:bCs/>
          <w:color w:val="1A1A1A"/>
          <w:sz w:val="21"/>
          <w:szCs w:val="21"/>
        </w:rPr>
        <w:t xml:space="preserve">Language: </w:t>
      </w:r>
      <w:r>
        <w:rPr>
          <w:rFonts w:ascii="Arial" w:cs="Arial" w:eastAsia="Arial" w:hAnsi="Arial"/>
          <w:color w:val="1A1A1A"/>
          <w:sz w:val="21"/>
          <w:szCs w:val="21"/>
        </w:rPr>
        <w:t xml:space="preserve">Full TypeScript with proper interfaces, type safety, and zero any-type shortcuts.</w:t>
      </w:r>
    </w:p>
    <w:p>
      <w:pPr>
        <w:pStyle w:val="ListParagraph"/>
        <w:numPr>
          <w:ilvl w:val="0"/>
          <w:numId w:val="2"/>
        </w:numPr>
        <w:spacing w:before="60" w:after="60" w:line="300"/>
      </w:pPr>
      <w:r>
        <w:rPr>
          <w:rFonts w:ascii="Arial" w:cs="Arial" w:eastAsia="Arial" w:hAnsi="Arial"/>
          <w:b/>
          <w:bCs/>
          <w:color w:val="1A1A1A"/>
          <w:sz w:val="21"/>
          <w:szCs w:val="21"/>
        </w:rPr>
        <w:t xml:space="preserve">Styling: </w:t>
      </w:r>
      <w:r>
        <w:rPr>
          <w:rFonts w:ascii="Arial" w:cs="Arial" w:eastAsia="Arial" w:hAnsi="Arial"/>
          <w:color w:val="1A1A1A"/>
          <w:sz w:val="21"/>
          <w:szCs w:val="21"/>
        </w:rPr>
        <w:t xml:space="preserve">Tailwind CSS 4 + shadcn/ui component library — the industry-standard combination for maintainable design systems.</w:t>
      </w:r>
    </w:p>
    <w:p>
      <w:pPr>
        <w:pStyle w:val="ListParagraph"/>
        <w:numPr>
          <w:ilvl w:val="0"/>
          <w:numId w:val="2"/>
        </w:numPr>
        <w:spacing w:before="60" w:after="60" w:line="300"/>
      </w:pPr>
      <w:r>
        <w:rPr>
          <w:rFonts w:ascii="Arial" w:cs="Arial" w:eastAsia="Arial" w:hAnsi="Arial"/>
          <w:b/>
          <w:bCs/>
          <w:color w:val="1A1A1A"/>
          <w:sz w:val="21"/>
          <w:szCs w:val="21"/>
        </w:rPr>
        <w:t xml:space="preserve">Search: </w:t>
      </w:r>
      <w:r>
        <w:rPr>
          <w:rFonts w:ascii="Arial" w:cs="Arial" w:eastAsia="Arial" w:hAnsi="Arial"/>
          <w:color w:val="1A1A1A"/>
          <w:sz w:val="21"/>
          <w:szCs w:val="21"/>
        </w:rPr>
        <w:t xml:space="preserve">Fuse.js fuzzy search enabling instant, client-side search with no backend dependency.</w:t>
      </w:r>
    </w:p>
    <w:p>
      <w:pPr>
        <w:pStyle w:val="ListParagraph"/>
        <w:numPr>
          <w:ilvl w:val="0"/>
          <w:numId w:val="2"/>
        </w:numPr>
        <w:spacing w:before="60" w:after="60" w:line="300"/>
      </w:pPr>
      <w:r>
        <w:rPr>
          <w:rFonts w:ascii="Arial" w:cs="Arial" w:eastAsia="Arial" w:hAnsi="Arial"/>
          <w:b/>
          <w:bCs/>
          <w:color w:val="1A1A1A"/>
          <w:sz w:val="21"/>
          <w:szCs w:val="21"/>
        </w:rPr>
        <w:t xml:space="preserve">Animation: </w:t>
      </w:r>
      <w:r>
        <w:rPr>
          <w:rFonts w:ascii="Arial" w:cs="Arial" w:eastAsia="Arial" w:hAnsi="Arial"/>
          <w:color w:val="1A1A1A"/>
          <w:sz w:val="21"/>
          <w:szCs w:val="21"/>
        </w:rPr>
        <w:t xml:space="preserve">Framer Motion for smooth, accessible UI transitions.</w:t>
      </w:r>
    </w:p>
    <w:p>
      <w:pPr>
        <w:pStyle w:val="ListParagraph"/>
        <w:numPr>
          <w:ilvl w:val="0"/>
          <w:numId w:val="2"/>
        </w:numPr>
        <w:spacing w:before="60" w:after="60" w:line="300"/>
      </w:pPr>
      <w:r>
        <w:rPr>
          <w:rFonts w:ascii="Arial" w:cs="Arial" w:eastAsia="Arial" w:hAnsi="Arial"/>
          <w:b/>
          <w:bCs/>
          <w:color w:val="1A1A1A"/>
          <w:sz w:val="21"/>
          <w:szCs w:val="21"/>
        </w:rPr>
        <w:t xml:space="preserve">Deployment: </w:t>
      </w:r>
      <w:r>
        <w:rPr>
          <w:rFonts w:ascii="Arial" w:cs="Arial" w:eastAsia="Arial" w:hAnsi="Arial"/>
          <w:color w:val="1A1A1A"/>
          <w:sz w:val="21"/>
          <w:szCs w:val="21"/>
        </w:rPr>
        <w:t xml:space="preserve">Vercel-ready with one-click deploy, plus standalone build option for self-hosting.</w:t>
      </w:r>
    </w:p>
    <w:p>
      <w:pPr>
        <w:spacing w:before="200" w:after="0"/>
      </w:pPr>
    </w:p>
    <w:p>
      <w:pPr>
        <w:spacing w:before="280" w:after="140"/>
      </w:pPr>
      <w:r>
        <w:rPr>
          <w:rFonts w:ascii="Arial" w:cs="Arial" w:eastAsia="Arial" w:hAnsi="Arial"/>
          <w:b/>
          <w:bCs/>
          <w:color w:val="2E86AB"/>
          <w:sz w:val="24"/>
          <w:szCs w:val="24"/>
        </w:rPr>
        <w:t xml:space="preserve">Code Quality Indicators</w:t>
      </w:r>
    </w:p>
    <w:p>
      <w:pPr>
        <w:pStyle w:val="ListParagraph"/>
        <w:numPr>
          <w:ilvl w:val="0"/>
          <w:numId w:val="2"/>
        </w:numPr>
        <w:spacing w:before="60" w:after="60" w:line="300"/>
      </w:pPr>
      <w:r>
        <w:rPr>
          <w:rFonts w:ascii="Arial" w:cs="Arial" w:eastAsia="Arial" w:hAnsi="Arial"/>
          <w:b/>
          <w:bCs/>
          <w:color w:val="1A1A1A"/>
          <w:sz w:val="21"/>
          <w:szCs w:val="21"/>
        </w:rPr>
        <w:t xml:space="preserve">19,183 lines of TypeScript/React </w:t>
      </w:r>
      <w:r>
        <w:rPr>
          <w:rFonts w:ascii="Arial" w:cs="Arial" w:eastAsia="Arial" w:hAnsi="Arial"/>
          <w:color w:val="1A1A1A"/>
          <w:sz w:val="21"/>
          <w:szCs w:val="21"/>
        </w:rPr>
        <w:t xml:space="preserve">— well-organized across 57 source files with clear separation of concerns.</w:t>
      </w:r>
    </w:p>
    <w:p>
      <w:pPr>
        <w:pStyle w:val="ListParagraph"/>
        <w:numPr>
          <w:ilvl w:val="0"/>
          <w:numId w:val="2"/>
        </w:numPr>
        <w:spacing w:before="60" w:after="60" w:line="300"/>
      </w:pPr>
      <w:r>
        <w:rPr>
          <w:rFonts w:ascii="Arial" w:cs="Arial" w:eastAsia="Arial" w:hAnsi="Arial"/>
          <w:b/>
          <w:bCs/>
          <w:color w:val="1A1A1A"/>
          <w:sz w:val="21"/>
          <w:szCs w:val="21"/>
        </w:rPr>
        <w:t xml:space="preserve">Modular component architecture </w:t>
      </w:r>
      <w:r>
        <w:rPr>
          <w:rFonts w:ascii="Arial" w:cs="Arial" w:eastAsia="Arial" w:hAnsi="Arial"/>
          <w:color w:val="1A1A1A"/>
          <w:sz w:val="21"/>
          <w:szCs w:val="21"/>
        </w:rPr>
        <w:t xml:space="preserve">— 15+ reusable components with consistent patterns.</w:t>
      </w:r>
    </w:p>
    <w:p>
      <w:pPr>
        <w:pStyle w:val="ListParagraph"/>
        <w:numPr>
          <w:ilvl w:val="0"/>
          <w:numId w:val="2"/>
        </w:numPr>
        <w:spacing w:before="60" w:after="60" w:line="300"/>
      </w:pPr>
      <w:r>
        <w:rPr>
          <w:rFonts w:ascii="Arial" w:cs="Arial" w:eastAsia="Arial" w:hAnsi="Arial"/>
          <w:b/>
          <w:bCs/>
          <w:color w:val="1A1A1A"/>
          <w:sz w:val="21"/>
          <w:szCs w:val="21"/>
        </w:rPr>
        <w:t xml:space="preserve">Custom hooks for state management </w:t>
      </w:r>
      <w:r>
        <w:rPr>
          <w:rFonts w:ascii="Arial" w:cs="Arial" w:eastAsia="Arial" w:hAnsi="Arial"/>
          <w:color w:val="1A1A1A"/>
          <w:sz w:val="21"/>
          <w:szCs w:val="21"/>
        </w:rPr>
        <w:t xml:space="preserve">— favorites, recents, and analytics implemented as composable hooks.</w:t>
      </w:r>
    </w:p>
    <w:p>
      <w:pPr>
        <w:pStyle w:val="ListParagraph"/>
        <w:numPr>
          <w:ilvl w:val="0"/>
          <w:numId w:val="2"/>
        </w:numPr>
        <w:spacing w:before="60" w:after="60" w:line="300"/>
      </w:pPr>
      <w:r>
        <w:rPr>
          <w:rFonts w:ascii="Arial" w:cs="Arial" w:eastAsia="Arial" w:hAnsi="Arial"/>
          <w:b/>
          <w:bCs/>
          <w:color w:val="1A1A1A"/>
          <w:sz w:val="21"/>
          <w:szCs w:val="21"/>
        </w:rPr>
        <w:t xml:space="preserve">Proper error handling </w:t>
      </w:r>
      <w:r>
        <w:rPr>
          <w:rFonts w:ascii="Arial" w:cs="Arial" w:eastAsia="Arial" w:hAnsi="Arial"/>
          <w:color w:val="1A1A1A"/>
          <w:sz w:val="21"/>
          <w:szCs w:val="21"/>
        </w:rPr>
        <w:t xml:space="preserve">— API routes handle 401, 429, and generic errors with user-friendly messages.</w:t>
      </w:r>
    </w:p>
    <w:p>
      <w:pPr>
        <w:pStyle w:val="ListParagraph"/>
        <w:numPr>
          <w:ilvl w:val="0"/>
          <w:numId w:val="2"/>
        </w:numPr>
        <w:spacing w:before="60" w:after="60" w:line="300"/>
      </w:pPr>
      <w:r>
        <w:rPr>
          <w:rFonts w:ascii="Arial" w:cs="Arial" w:eastAsia="Arial" w:hAnsi="Arial"/>
          <w:b/>
          <w:bCs/>
          <w:color w:val="1A1A1A"/>
          <w:sz w:val="21"/>
          <w:szCs w:val="21"/>
        </w:rPr>
        <w:t xml:space="preserve">Lazy loading </w:t>
      </w:r>
      <w:r>
        <w:rPr>
          <w:rFonts w:ascii="Arial" w:cs="Arial" w:eastAsia="Arial" w:hAnsi="Arial"/>
          <w:color w:val="1A1A1A"/>
          <w:sz w:val="21"/>
          <w:szCs w:val="21"/>
        </w:rPr>
        <w:t xml:space="preserve">— widgets load on-demand for optimal performance.</w:t>
      </w:r>
    </w:p>
    <w:p>
      <w:pPr>
        <w:pStyle w:val="ListParagraph"/>
        <w:numPr>
          <w:ilvl w:val="0"/>
          <w:numId w:val="2"/>
        </w:numPr>
        <w:spacing w:before="60" w:after="60" w:line="300"/>
      </w:pPr>
      <w:r>
        <w:rPr>
          <w:rFonts w:ascii="Arial" w:cs="Arial" w:eastAsia="Arial" w:hAnsi="Arial"/>
          <w:b/>
          <w:bCs/>
          <w:color w:val="1A1A1A"/>
          <w:sz w:val="21"/>
          <w:szCs w:val="21"/>
        </w:rPr>
        <w:t xml:space="preserve">Accessibility </w:t>
      </w:r>
      <w:r>
        <w:rPr>
          <w:rFonts w:ascii="Arial" w:cs="Arial" w:eastAsia="Arial" w:hAnsi="Arial"/>
          <w:color w:val="1A1A1A"/>
          <w:sz w:val="21"/>
          <w:szCs w:val="21"/>
        </w:rPr>
        <w:t xml:space="preserve">— ARIA labels, semantic HTML, keyboard navigation throughout.</w:t>
      </w:r>
    </w:p>
    <w:p>
      <w:r>
        <w:br w:type="page"/>
      </w:r>
    </w:p>
    <w:p>
      <w:pPr>
        <w:spacing w:before="400" w:after="200"/>
      </w:pPr>
      <w:r>
        <w:rPr>
          <w:rFonts w:ascii="Arial" w:cs="Arial" w:eastAsia="Arial" w:hAnsi="Arial"/>
          <w:b/>
          <w:bCs/>
          <w:color w:val="1B2A4A"/>
          <w:sz w:val="28"/>
          <w:szCs w:val="28"/>
        </w:rPr>
        <w:t xml:space="preserve">SOURCES &amp; METHODOLOGY</w:t>
      </w:r>
    </w:p>
    <w:p>
      <w:pPr>
        <w:spacing w:before="80" w:after="80" w:line="320"/>
        <w:jc w:val="left"/>
      </w:pPr>
      <w:r>
        <w:rPr>
          <w:rFonts w:ascii="Arial" w:cs="Arial" w:eastAsia="Arial" w:hAnsi="Arial"/>
          <w:color w:val="1A1A1A"/>
          <w:sz w:val="21"/>
          <w:szCs w:val="21"/>
        </w:rPr>
        <w:t xml:space="preserve">All market data, pricing comparisons, and value estimates in this document are derived from the following sources:</w:t>
      </w:r>
    </w:p>
    <w:p>
      <w:pPr>
        <w:spacing w:before="100" w:after="0"/>
      </w:pPr>
    </w:p>
    <w:p>
      <w:pPr>
        <w:pStyle w:val="ListParagraph"/>
        <w:numPr>
          <w:ilvl w:val="0"/>
          <w:numId w:val="2"/>
        </w:numPr>
        <w:spacing w:before="60" w:after="60" w:line="300"/>
      </w:pPr>
      <w:r>
        <w:rPr>
          <w:rFonts w:ascii="Arial" w:cs="Arial" w:eastAsia="Arial" w:hAnsi="Arial"/>
          <w:b/>
          <w:bCs/>
          <w:color w:val="1A1A1A"/>
          <w:sz w:val="21"/>
          <w:szCs w:val="21"/>
        </w:rPr>
        <w:t xml:space="preserve">Grand View Research </w:t>
      </w:r>
      <w:r>
        <w:rPr>
          <w:rFonts w:ascii="Arial" w:cs="Arial" w:eastAsia="Arial" w:hAnsi="Arial"/>
          <w:color w:val="1A1A1A"/>
          <w:sz w:val="21"/>
          <w:szCs w:val="21"/>
        </w:rPr>
        <w:t xml:space="preserve">— AI Market, AI Productivity Tools Market, and Generative AI Content Creation Market reports (2024–2025).</w:t>
      </w:r>
    </w:p>
    <w:p>
      <w:pPr>
        <w:pStyle w:val="ListParagraph"/>
        <w:numPr>
          <w:ilvl w:val="0"/>
          <w:numId w:val="2"/>
        </w:numPr>
        <w:spacing w:before="60" w:after="60" w:line="300"/>
      </w:pPr>
      <w:r>
        <w:rPr>
          <w:rFonts w:ascii="Arial" w:cs="Arial" w:eastAsia="Arial" w:hAnsi="Arial"/>
          <w:b/>
          <w:bCs/>
          <w:color w:val="1A1A1A"/>
          <w:sz w:val="21"/>
          <w:szCs w:val="21"/>
        </w:rPr>
        <w:t xml:space="preserve">Menlo Ventures </w:t>
      </w:r>
      <w:r>
        <w:rPr>
          <w:rFonts w:ascii="Arial" w:cs="Arial" w:eastAsia="Arial" w:hAnsi="Arial"/>
          <w:color w:val="1A1A1A"/>
          <w:sz w:val="21"/>
          <w:szCs w:val="21"/>
        </w:rPr>
        <w:t xml:space="preserve">— “The State of Generative AI in the Enterprise” (2025), covering $37B enterprise AI spending.</w:t>
      </w:r>
    </w:p>
    <w:p>
      <w:pPr>
        <w:pStyle w:val="ListParagraph"/>
        <w:numPr>
          <w:ilvl w:val="0"/>
          <w:numId w:val="2"/>
        </w:numPr>
        <w:spacing w:before="60" w:after="60" w:line="300"/>
      </w:pPr>
      <w:r>
        <w:rPr>
          <w:rFonts w:ascii="Arial" w:cs="Arial" w:eastAsia="Arial" w:hAnsi="Arial"/>
          <w:b/>
          <w:bCs/>
          <w:color w:val="1A1A1A"/>
          <w:sz w:val="21"/>
          <w:szCs w:val="21"/>
        </w:rPr>
        <w:t xml:space="preserve">Forrester Research </w:t>
      </w:r>
      <w:r>
        <w:rPr>
          <w:rFonts w:ascii="Arial" w:cs="Arial" w:eastAsia="Arial" w:hAnsi="Arial"/>
          <w:color w:val="1A1A1A"/>
          <w:sz w:val="21"/>
          <w:szCs w:val="21"/>
        </w:rPr>
        <w:t xml:space="preserve">— “The State of Generative AI Inside US Agencies 2024,” reporting 91% agency adoption.</w:t>
      </w:r>
    </w:p>
    <w:p>
      <w:pPr>
        <w:pStyle w:val="ListParagraph"/>
        <w:numPr>
          <w:ilvl w:val="0"/>
          <w:numId w:val="2"/>
        </w:numPr>
        <w:spacing w:before="60" w:after="60" w:line="300"/>
      </w:pPr>
      <w:r>
        <w:rPr>
          <w:rFonts w:ascii="Arial" w:cs="Arial" w:eastAsia="Arial" w:hAnsi="Arial"/>
          <w:b/>
          <w:bCs/>
          <w:color w:val="1A1A1A"/>
          <w:sz w:val="21"/>
          <w:szCs w:val="21"/>
        </w:rPr>
        <w:t xml:space="preserve">CoSchedule </w:t>
      </w:r>
      <w:r>
        <w:rPr>
          <w:rFonts w:ascii="Arial" w:cs="Arial" w:eastAsia="Arial" w:hAnsi="Arial"/>
          <w:color w:val="1A1A1A"/>
          <w:sz w:val="21"/>
          <w:szCs w:val="21"/>
        </w:rPr>
        <w:t xml:space="preserve">— AI Marketing Statistics 2025, documenting 78% team adoption rates.</w:t>
      </w:r>
    </w:p>
    <w:p>
      <w:pPr>
        <w:pStyle w:val="ListParagraph"/>
        <w:numPr>
          <w:ilvl w:val="0"/>
          <w:numId w:val="2"/>
        </w:numPr>
        <w:spacing w:before="60" w:after="60" w:line="300"/>
      </w:pPr>
      <w:r>
        <w:rPr>
          <w:rFonts w:ascii="Arial" w:cs="Arial" w:eastAsia="Arial" w:hAnsi="Arial"/>
          <w:b/>
          <w:bCs/>
          <w:color w:val="1A1A1A"/>
          <w:sz w:val="21"/>
          <w:szCs w:val="21"/>
        </w:rPr>
        <w:t xml:space="preserve">IAB (Interactive Advertising Bureau) </w:t>
      </w:r>
      <w:r>
        <w:rPr>
          <w:rFonts w:ascii="Arial" w:cs="Arial" w:eastAsia="Arial" w:hAnsi="Arial"/>
          <w:color w:val="1A1A1A"/>
          <w:sz w:val="21"/>
          <w:szCs w:val="21"/>
        </w:rPr>
        <w:t xml:space="preserve">— “AI Adoption is Surging in Advertising” research on governance gaps.</w:t>
      </w:r>
    </w:p>
    <w:p>
      <w:pPr>
        <w:pStyle w:val="ListParagraph"/>
        <w:numPr>
          <w:ilvl w:val="0"/>
          <w:numId w:val="2"/>
        </w:numPr>
        <w:spacing w:before="60" w:after="60" w:line="300"/>
      </w:pPr>
      <w:r>
        <w:rPr>
          <w:rFonts w:ascii="Arial" w:cs="Arial" w:eastAsia="Arial" w:hAnsi="Arial"/>
          <w:b/>
          <w:bCs/>
          <w:color w:val="1A1A1A"/>
          <w:sz w:val="21"/>
          <w:szCs w:val="21"/>
        </w:rPr>
        <w:t xml:space="preserve">Muck Rack </w:t>
      </w:r>
      <w:r>
        <w:rPr>
          <w:rFonts w:ascii="Arial" w:cs="Arial" w:eastAsia="Arial" w:hAnsi="Arial"/>
          <w:color w:val="1A1A1A"/>
          <w:sz w:val="21"/>
          <w:szCs w:val="21"/>
        </w:rPr>
        <w:t xml:space="preserve">— “State of AI in PR 2024” survey data on PR professional challenges.</w:t>
      </w:r>
    </w:p>
    <w:p>
      <w:pPr>
        <w:pStyle w:val="ListParagraph"/>
        <w:numPr>
          <w:ilvl w:val="0"/>
          <w:numId w:val="2"/>
        </w:numPr>
        <w:spacing w:before="60" w:after="60" w:line="300"/>
      </w:pPr>
      <w:r>
        <w:rPr>
          <w:rFonts w:ascii="Arial" w:cs="Arial" w:eastAsia="Arial" w:hAnsi="Arial"/>
          <w:b/>
          <w:bCs/>
          <w:color w:val="1A1A1A"/>
          <w:sz w:val="21"/>
          <w:szCs w:val="21"/>
        </w:rPr>
        <w:t xml:space="preserve">IBM / McKinsey </w:t>
      </w:r>
      <w:r>
        <w:rPr>
          <w:rFonts w:ascii="Arial" w:cs="Arial" w:eastAsia="Arial" w:hAnsi="Arial"/>
          <w:color w:val="1A1A1A"/>
          <w:sz w:val="21"/>
          <w:szCs w:val="21"/>
        </w:rPr>
        <w:t xml:space="preserve">— AI ROI data showing 1 hour/day savings and 20–30% campaign performance lift.</w:t>
      </w:r>
    </w:p>
    <w:p>
      <w:pPr>
        <w:pStyle w:val="ListParagraph"/>
        <w:numPr>
          <w:ilvl w:val="0"/>
          <w:numId w:val="2"/>
        </w:numPr>
        <w:spacing w:before="60" w:after="60" w:line="300"/>
      </w:pPr>
      <w:r>
        <w:rPr>
          <w:rFonts w:ascii="Arial" w:cs="Arial" w:eastAsia="Arial" w:hAnsi="Arial"/>
          <w:b/>
          <w:bCs/>
          <w:color w:val="1A1A1A"/>
          <w:sz w:val="21"/>
          <w:szCs w:val="21"/>
        </w:rPr>
        <w:t xml:space="preserve">WildNet Edge, WebMobTech, Ptolemay, AppInventiv </w:t>
      </w:r>
      <w:r>
        <w:rPr>
          <w:rFonts w:ascii="Arial" w:cs="Arial" w:eastAsia="Arial" w:hAnsi="Arial"/>
          <w:color w:val="1A1A1A"/>
          <w:sz w:val="21"/>
          <w:szCs w:val="21"/>
        </w:rPr>
        <w:t xml:space="preserve">— Software development cost benchmarks for Next.js and AI SaaS platforms.</w:t>
      </w:r>
    </w:p>
    <w:p>
      <w:pPr>
        <w:pStyle w:val="ListParagraph"/>
        <w:numPr>
          <w:ilvl w:val="0"/>
          <w:numId w:val="2"/>
        </w:numPr>
        <w:spacing w:before="60" w:after="60" w:line="300"/>
      </w:pPr>
      <w:r>
        <w:rPr>
          <w:rFonts w:ascii="Arial" w:cs="Arial" w:eastAsia="Arial" w:hAnsi="Arial"/>
          <w:b/>
          <w:bCs/>
          <w:color w:val="1A1A1A"/>
          <w:sz w:val="21"/>
          <w:szCs w:val="21"/>
        </w:rPr>
        <w:t xml:space="preserve">Jasper, Writer.com, Copy.ai, AIPRM </w:t>
      </w:r>
      <w:r>
        <w:rPr>
          <w:rFonts w:ascii="Arial" w:cs="Arial" w:eastAsia="Arial" w:hAnsi="Arial"/>
          <w:color w:val="1A1A1A"/>
          <w:sz w:val="21"/>
          <w:szCs w:val="21"/>
        </w:rPr>
        <w:t xml:space="preserve">— Public pricing pages accessed February 2026.</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400"/>
              <w:bottom w:type="dxa" w:w="300"/>
              <w:right w:type="dxa" w:w="400"/>
            </w:tcMar>
          </w:tcPr>
          <w:p>
            <w:pPr>
              <w:spacing w:after="120"/>
              <w:jc w:val="center"/>
            </w:pPr>
            <w:r>
              <w:rPr>
                <w:rFonts w:ascii="Arial" w:cs="Arial" w:eastAsia="Arial" w:hAnsi="Arial"/>
                <w:b/>
                <w:bCs/>
                <w:color w:val="FFFFFF"/>
                <w:sz w:val="28"/>
                <w:szCs w:val="28"/>
              </w:rPr>
              <w:t xml:space="preserve">Ready to discuss?</w:t>
            </w:r>
          </w:p>
          <w:p>
            <w:pPr>
              <w:jc w:val="center"/>
            </w:pPr>
            <w:r>
              <w:rPr>
                <w:rFonts w:ascii="Arial" w:cs="Arial" w:eastAsia="Arial" w:hAnsi="Arial"/>
                <w:color w:val="E8F4F8"/>
                <w:sz w:val="20"/>
                <w:szCs w:val="20"/>
              </w:rPr>
              <w:t xml:space="preserve">This platform represents a significant competitive advantage for any agency serious about AI implementation. Contact us to schedule a demo and explore licensing options.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Agency Tools v2  |  Product Valuation &amp; Sales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2026-02-09T12:03:25.460Z</dcterms:created>
  <dcterms:modified xsi:type="dcterms:W3CDTF">2026-02-09T12:03:25.461Z</dcterms:modified>
</cp:coreProperties>
</file>

<file path=docProps/custom.xml><?xml version="1.0" encoding="utf-8"?>
<Properties xmlns="http://schemas.openxmlformats.org/officeDocument/2006/custom-properties" xmlns:vt="http://schemas.openxmlformats.org/officeDocument/2006/docPropsVTypes"/>
</file>