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D2F8" w14:textId="77777777" w:rsidR="00E13603" w:rsidRDefault="00E13603" w:rsidP="00E13603">
      <w:pPr>
        <w:pStyle w:val="a3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</w:t>
      </w:r>
      <w:r>
        <w:rPr>
          <w:rFonts w:ascii="Helvetica" w:hAnsi="Helvetica"/>
          <w:color w:val="000000"/>
        </w:rPr>
        <w:t>在这次的课堂中，我们先从一些哲学上的争论，再了解到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﻿﻿﻿﻿</w:t>
      </w: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>了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</w:t>
      </w:r>
      <w:r>
        <w:rPr>
          <w:rFonts w:ascii="Helvetica" w:hAnsi="Helvetica"/>
          <w:color w:val="000000"/>
        </w:rPr>
        <w:t>皮亚杰对儿童教育的研究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</w:t>
      </w: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>。根据学习到的皮亚杰的理论，对于在儿童教育过程中需要的方面，我有以下看法：</w:t>
      </w:r>
    </w:p>
    <w:p w14:paraId="7B1A5114" w14:textId="0F334F4B" w:rsidR="00E13603" w:rsidRDefault="00E13603" w:rsidP="00E13603">
      <w:pPr>
        <w:pStyle w:val="a3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  </w:t>
      </w: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>首先，我们从有过的哲学的争论中学习到了康德的范畴表，他说：</w:t>
      </w:r>
      <w:r>
        <w:rPr>
          <w:rStyle w:val="mceitemhidden"/>
          <w:rFonts w:ascii="inherit" w:hAnsi="inherit"/>
          <w:color w:val="000000"/>
          <w:sz w:val="20"/>
          <w:szCs w:val="20"/>
          <w:bdr w:val="none" w:sz="0" w:space="0" w:color="auto" w:frame="1"/>
        </w:rPr>
        <w:t>“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范畴是构建人类知识大厦的基石。”我认为康德的范畴表也是适用于皮亚杰对于儿童教育的思维方法的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。我认为儿童教育应该在量上是多数性的，在质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上是实在性的，在关系上是原因性与依存性的，在模态上是必然性与偶然性的，</w:t>
      </w:r>
      <w:r w:rsidR="004F4620"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而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皮亚杰对于儿童教育的一些看法和我的观点类似。</w:t>
      </w:r>
    </w:p>
    <w:p w14:paraId="3BA55611" w14:textId="2B0E4EAB" w:rsidR="00E13603" w:rsidRDefault="00E13603" w:rsidP="00E13603">
      <w:pPr>
        <w:pStyle w:val="a3"/>
        <w:spacing w:before="0" w:beforeAutospacing="0" w:after="0" w:afterAutospacing="0"/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 xml:space="preserve">  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在皮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亚杰的道德发展阶段理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论中，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皮亚杰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认为儿童的道德发展是由一个他律逐步向自律、由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客观责任感逐步向主管责任感的转化过程，且道德认识的发展阶段可以分为自我中心阶段（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、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6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岁前）、权威阶段（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6-8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岁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）、可逆性阶段（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9-10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岁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）、公正阶段（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11-12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岁后）的四个阶段。那么在自我中心阶段，由于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儿童处于前运算思维阶段，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十分强调个人，所以在这个阶段，我们要以耐心去慢慢教导儿童去区别好坏；在权威阶段儿童的道德判断是他律的，是根据后果的严重性判断行为好坏，所以我们要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﻿﻿﻿﻿﻿﻿﻿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细心观察并多交流沟通去了解儿童的想法并纠正错误；在可逆性阶段，也就是儿童开始有了可逆性思维的时期他们会认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</w:t>
      </w:r>
      <w:r>
        <w:rPr>
          <w:rFonts w:ascii="等线" w:eastAsia="等线" w:hAnsi="等线" w:hint="eastAsia"/>
          <w:color w:val="000000"/>
          <w:sz w:val="21"/>
          <w:szCs w:val="21"/>
          <w:bdr w:val="none" w:sz="0" w:space="0" w:color="auto" w:frame="1"/>
        </w:rPr>
        <w:t>为一切事物公平至上，因此我们要严以律己，可以陪着儿童一起追求公平并培养他们的自律意识；而在公正阶段，也就是儿童开始有自律道德意识时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﻿﻿﻿﻿﻿﻿﻿﻿﻿﻿﻿﻿﻿﻿﻿﻿﻿﻿﻿﻿﻿﻿</w:t>
      </w:r>
      <w:r>
        <w:rPr>
          <w:rStyle w:val="mceitemhidden"/>
          <w:rFonts w:ascii="inherit" w:eastAsia="等线" w:hAnsi="inherit"/>
          <w:color w:val="000000"/>
          <w:sz w:val="21"/>
          <w:szCs w:val="21"/>
          <w:bdr w:val="none" w:sz="0" w:space="0" w:color="auto" w:frame="1"/>
        </w:rPr>
        <w:t>，要鼓励儿童自律，主张公正、正义、阳光向上的心态。</w:t>
      </w:r>
      <w:r>
        <w:rPr>
          <w:rStyle w:val="mceitemhidden"/>
          <w:rFonts w:ascii="Tahoma" w:eastAsia="等线" w:hAnsi="Tahoma" w:cs="Tahoma"/>
          <w:color w:val="000000"/>
          <w:sz w:val="21"/>
          <w:szCs w:val="21"/>
          <w:bdr w:val="none" w:sz="0" w:space="0" w:color="auto" w:frame="1"/>
        </w:rPr>
        <w:t>﻿﻿﻿﻿﻿﻿﻿﻿﻿﻿﻿﻿﻿﻿﻿﻿﻿﻿﻿﻿﻿﻿﻿﻿﻿﻿﻿﻿﻿﻿﻿﻿﻿﻿﻿﻿﻿﻿﻿﻿﻿﻿﻿﻿﻿﻿﻿﻿﻿﻿﻿﻿﻿﻿﻿﻿﻿﻿﻿﻿﻿﻿﻿﻿﻿﻿﻿﻿﻿﻿﻿﻿﻿﻿﻿﻿﻿﻿﻿﻿﻿﻿﻿﻿﻿﻿﻿﻿﻿﻿﻿﻿﻿﻿﻿﻿﻿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﻿﻿﻿﻿﻿﻿﻿﻿﻿﻿﻿﻿﻿﻿﻿﻿﻿﻿﻿﻿﻿﻿﻿﻿﻿﻿﻿﻿﻿﻿﻿</w:t>
      </w:r>
    </w:p>
    <w:p w14:paraId="1F09FDBD" w14:textId="20DFB0FF" w:rsidR="00143D15" w:rsidRPr="004F4620" w:rsidRDefault="004F4620" w:rsidP="004F4620">
      <w:pPr>
        <w:pStyle w:val="a3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mceitemhidden"/>
          <w:rFonts w:ascii="Tahoma" w:hAnsi="Tahoma" w:cs="Tahoma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mceitemhidden"/>
          <w:rFonts w:ascii="Tahoma" w:hAnsi="Tahoma" w:cs="Tahoma" w:hint="eastAsia"/>
          <w:color w:val="000000"/>
          <w:sz w:val="20"/>
          <w:szCs w:val="20"/>
          <w:bdr w:val="none" w:sz="0" w:space="0" w:color="auto" w:frame="1"/>
        </w:rPr>
        <w:t>以上就是我的一些看法。</w:t>
      </w:r>
    </w:p>
    <w:sectPr w:rsidR="00143D15" w:rsidRPr="004F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EB5"/>
    <w:multiLevelType w:val="hybridMultilevel"/>
    <w:tmpl w:val="AE3257D6"/>
    <w:lvl w:ilvl="0" w:tplc="30EA0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E68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969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123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042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18F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0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CE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047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69561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27"/>
    <w:rsid w:val="00053D15"/>
    <w:rsid w:val="00142427"/>
    <w:rsid w:val="00143D15"/>
    <w:rsid w:val="004F4620"/>
    <w:rsid w:val="00A822D8"/>
    <w:rsid w:val="00D04A6A"/>
    <w:rsid w:val="00E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269"/>
  <w15:chartTrackingRefBased/>
  <w15:docId w15:val="{8F39A4D4-5580-448B-A2E5-08CDA041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ceitemhidden">
    <w:name w:val="mceitemhidden"/>
    <w:basedOn w:val="a0"/>
    <w:rsid w:val="0005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鱼儿</dc:creator>
  <cp:keywords/>
  <dc:description/>
  <cp:lastModifiedBy>鱼儿</cp:lastModifiedBy>
  <cp:revision>1</cp:revision>
  <dcterms:created xsi:type="dcterms:W3CDTF">2023-03-11T08:53:00Z</dcterms:created>
  <dcterms:modified xsi:type="dcterms:W3CDTF">2023-03-11T10:27:00Z</dcterms:modified>
</cp:coreProperties>
</file>