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第二节  明代诗歌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明诗：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唐诗：“丰神情韵”，注重意境形象。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宋诗：“筋骨思理”，注重才学议论。</w:t>
      </w:r>
    </w:p>
    <w:p>
      <w:pPr>
        <w:pStyle w:val="ListParagraph"/>
        <w:numPr>
          <w:ilvl w:val="1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明诗：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1、创作群体庞大，作品繁多，诗人地位高。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2、以前代（唐代）诗作为典范。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《全唐诗》“举头望</w:t>
      </w:r>
      <w:r>
        <w:rPr>
          <w:b w:val="true"/>
          <w:bCs w:val="true"/>
          <w:color w:val="#888888"/>
          <w:sz w:val="20"/>
          <w:szCs w:val="20"/>
          <w:rFonts w:ascii="Microsoft YaHei" w:cs="Microsoft YaHei" w:eastAsia="Microsoft YaHei" w:hAnsi="Microsoft YaHei"/>
        </w:rPr>
        <w:t xml:space="preserve">山</w:t>
      </w: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月”，李攀龙改诗《唐诗选》“举头望</w:t>
      </w:r>
      <w:r>
        <w:rPr>
          <w:b w:val="true"/>
          <w:bCs w:val="true"/>
          <w:color w:val="#888888"/>
          <w:sz w:val="20"/>
          <w:szCs w:val="20"/>
          <w:rFonts w:ascii="Microsoft YaHei" w:cs="Microsoft YaHei" w:eastAsia="Microsoft YaHei" w:hAnsi="Microsoft YaHei"/>
        </w:rPr>
        <w:t xml:space="preserve">明月</w:t>
      </w: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”，《唐诗三百首》抄录亦为“举头望</w:t>
      </w:r>
      <w:r>
        <w:rPr>
          <w:b w:val="true"/>
          <w:bCs w:val="true"/>
          <w:color w:val="#888888"/>
          <w:sz w:val="20"/>
          <w:szCs w:val="20"/>
          <w:rFonts w:ascii="Microsoft YaHei" w:cs="Microsoft YaHei" w:eastAsia="Microsoft YaHei" w:hAnsi="Microsoft YaHei"/>
        </w:rPr>
        <w:t xml:space="preserve">明月</w:t>
      </w: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”。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3、诗派流行：</w:t>
      </w: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台阁派、前七子、后七子、公安派、竟陵派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每一个诗派都有严格的理论，负面影响是诗人创作受到阻碍，“诗派兴而诗亡”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明代诗歌的分期：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（1）明初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高、楊、張、徐、劉基、袁凱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（2）永、宣以后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作者递兴，皆沖融演迤，不事鈎棘，而氣體漸弱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（3）弘、正之間</w:t>
      </w:r>
    </w:p>
    <w:p>
      <w:pPr>
        <w:pStyle w:val="ListParagraph"/>
        <w:numPr>
          <w:ilvl w:val="3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李东阳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出入宋、元，溯流唐代，擅聲館閣。</w:t>
      </w:r>
    </w:p>
    <w:p>
      <w:pPr>
        <w:pStyle w:val="ListParagraph"/>
        <w:numPr>
          <w:ilvl w:val="3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李夢陽、何景明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倡言復古，文自西京、詩自中唐而下，一切吐弃。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（4）嘉靖年间</w:t>
      </w:r>
    </w:p>
    <w:p>
      <w:pPr>
        <w:pStyle w:val="ListParagraph"/>
        <w:numPr>
          <w:ilvl w:val="3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李攀龍、王世貞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輩，文主秦、漢，詩規盛唐。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（5）啓、禎年间</w:t>
      </w:r>
    </w:p>
    <w:p>
      <w:pPr>
        <w:pStyle w:val="ListParagraph"/>
        <w:numPr>
          <w:ilvl w:val="3"/>
          <w:numId w:val="3"/>
        </w:numPr>
      </w:pP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錢謙益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、艾南英准北宋之矩矱，</w:t>
      </w:r>
      <w:r>
        <w:rPr>
          <w:color w:val="#797ec9"/>
          <w:sz w:val="20"/>
          <w:szCs w:val="20"/>
          <w:rFonts w:ascii="Microsoft YaHei" w:cs="Microsoft YaHei" w:eastAsia="Microsoft YaHei" w:hAnsi="Microsoft YaHei"/>
        </w:rPr>
        <w:t xml:space="preserve">張溥、陳子龍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擷東漢之芳華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高启</w:t>
      </w:r>
    </w:p>
    <w:p>
      <w:pPr>
        <w:pStyle w:val="ListParagraph"/>
        <w:numPr>
          <w:ilvl w:val="1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吴中四杰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：高启、杨基、张羽、徐贲。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诗歌主张：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“詩之要：有曰格，曰意，曰趣而已。格以辯其體，意以達其情，趣以臻其妙也。三者既得，而後典雅沖淡，豪俊穠耨，幽婉奇險之辭，變化不一，隨所宜而賦焉。”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“李青蓮詩，從未有能學之者，惟青丘與之相上下，不惟形似，而且神似。”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明中期詩文復古：</w:t>
      </w:r>
    </w:p>
    <w:p>
      <w:pPr>
        <w:pStyle w:val="ListParagraph"/>
        <w:numPr>
          <w:ilvl w:val="1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前七子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：李夢陽、何景明、徐禎卿、邊貢、康海、王九思、王廷相。</w:t>
      </w:r>
    </w:p>
    <w:p>
      <w:pPr>
        <w:pStyle w:val="ListParagraph"/>
        <w:numPr>
          <w:ilvl w:val="1"/>
          <w:numId w:val="3"/>
        </w:numPr>
      </w:pP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後七子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：李攀龍、王世貞、謝榛、吳國倫、宗臣、徐中行、梁有譽。</w:t>
      </w:r>
    </w:p>
    <w:p>
      <w:pPr>
        <w:pStyle w:val="ListParagraph"/>
        <w:numPr>
          <w:ilvl w:val="1"/>
          <w:numId w:val="3"/>
        </w:numPr>
      </w:pP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背景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：反對理學化、瑣碎化、台閣體。</w:t>
      </w:r>
    </w:p>
    <w:p>
      <w:pPr>
        <w:pStyle w:val="ListParagraph"/>
        <w:numPr>
          <w:ilvl w:val="1"/>
          <w:numId w:val="3"/>
        </w:numPr>
      </w:pPr>
      <w:r>
        <w:rPr>
          <w:color w:val="#3da8f5"/>
          <w:sz w:val="20"/>
          <w:szCs w:val="20"/>
          <w:rFonts w:ascii="Microsoft YaHei" w:cs="Microsoft YaHei" w:eastAsia="Microsoft YaHei" w:hAnsi="Microsoft YaHei"/>
        </w:rPr>
        <w:t xml:space="preserve">主張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1、詩中表達真情：遇者因乎情，詩者形乎遇。（李夢陽）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2、以前代詩為典範：文必秦漢，詩必盛唐。（李夢陽）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3、注重詩的文體獨立性：（詩文）各有體而不相亂。（李夢陽）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李攀龙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诗歌特点：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“七言律及七言絕句，</w:t>
      </w:r>
      <w:r>
        <w:rPr>
          <w:color w:val="#dc2d1e"/>
          <w:sz w:val="20"/>
          <w:szCs w:val="20"/>
          <w:rFonts w:ascii="Microsoft YaHei" w:cs="Microsoft YaHei" w:eastAsia="Microsoft YaHei" w:hAnsi="Microsoft YaHei"/>
        </w:rPr>
        <w:t xml:space="preserve">高華矜貴，脫棄凡庸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。”</w:t>
      </w:r>
    </w:p>
    <w:p>
      <w:pPr>
        <w:ind w:left="700"/>
      </w:pPr>
      <w:r>
        <w:rPr>
          <w:color w:val="#888888"/>
          <w:sz w:val="20"/>
          <w:szCs w:val="20"/>
          <w:rFonts w:ascii="Microsoft YaHei" w:cs="Microsoft YaHei" w:eastAsia="Microsoft YaHei" w:hAnsi="Microsoft YaHei"/>
        </w:rPr>
        <w:t xml:space="preserve">师法杜甫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缺陷：舉其字則五十餘字盡之矣，舉其句則數十句盡之矣。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1、境界宏阔：在时空两个维度无限扩大。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2、重复雷同</w:t>
      </w:r>
    </w:p>
    <w:p>
      <w:pPr>
        <w:pStyle w:val="ListParagraph"/>
        <w:numPr>
          <w:ilvl w:val="0"/>
          <w:numId w:val="3"/>
        </w:numPr>
      </w:pPr>
      <w:r>
        <w:rPr>
          <w:b w:val="true"/>
          <w:bCs w:val="true"/>
          <w:sz w:val="20"/>
          <w:szCs w:val="20"/>
          <w:rFonts w:ascii="Microsoft YaHei" w:cs="Microsoft YaHei" w:eastAsia="Microsoft YaHei" w:hAnsi="Microsoft YaHei"/>
        </w:rPr>
        <w:t xml:space="preserve">王世贞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诗学主张：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勿讀唐以後文。記聞既雜，下筆之際，自然于筆端攪擾，驅斥爲難。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“思即才之用，調即思之境，格即調之界。”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“夫格者，才之御也；調者，氣之規也。”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“剽竊模擬，詩之大病。”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第二节  明代诗歌</dc:title>
  <dcterms:created xsi:type="dcterms:W3CDTF">2022-04-23T09:56:07Z</dcterms:created>
  <dcterms:modified xsi:type="dcterms:W3CDTF">2022-04-23T09:56:07Z</dcterms:modified>
</cp:coreProperties>
</file>