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117AF" w14:textId="33CEC36C" w:rsidR="00741D6E" w:rsidRDefault="00144172" w:rsidP="00144172">
      <w:pPr>
        <w:pStyle w:val="a5"/>
        <w:numPr>
          <w:ilvl w:val="0"/>
          <w:numId w:val="1"/>
        </w:numPr>
      </w:pPr>
      <w:r>
        <w:rPr>
          <w:rFonts w:hint="eastAsia"/>
        </w:rPr>
        <w:t>秦与西汉散文</w:t>
      </w:r>
    </w:p>
    <w:p w14:paraId="63183C50" w14:textId="7D44A7F3" w:rsidR="00144172" w:rsidRPr="00621EF9" w:rsidRDefault="00144172" w:rsidP="00621EF9">
      <w:pPr>
        <w:ind w:left="-200"/>
        <w:rPr>
          <w:rFonts w:ascii="微软雅黑" w:eastAsia="微软雅黑" w:hAnsi="微软雅黑" w:cs="微软雅黑"/>
          <w:kern w:val="0"/>
          <w:sz w:val="24"/>
          <w:szCs w:val="24"/>
        </w:rPr>
      </w:pPr>
      <w:r w:rsidRPr="00621EF9">
        <w:rPr>
          <w:rFonts w:ascii="微软雅黑" w:eastAsia="微软雅黑" w:hAnsi="微软雅黑" w:cs="微软雅黑" w:hint="eastAsia"/>
          <w:kern w:val="0"/>
          <w:sz w:val="24"/>
          <w:szCs w:val="24"/>
        </w:rPr>
        <w:t>第一节、秦代散文</w:t>
      </w:r>
    </w:p>
    <w:p w14:paraId="3E5ABE8A" w14:textId="0016D0F7" w:rsidR="00295A6B" w:rsidRDefault="00144172" w:rsidP="003A4FAD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/>
          <w:sz w:val="24"/>
          <w:szCs w:val="28"/>
        </w:rPr>
      </w:pPr>
      <w:r w:rsidRPr="00621EF9">
        <w:rPr>
          <w:rFonts w:ascii="黑体" w:eastAsia="黑体" w:hAnsi="黑体" w:hint="eastAsia"/>
          <w:sz w:val="24"/>
          <w:szCs w:val="28"/>
        </w:rPr>
        <w:t>秦统一前夕的《吕氏春秋》</w:t>
      </w:r>
    </w:p>
    <w:p w14:paraId="3B7BDE8A" w14:textId="30574196" w:rsidR="00295A6B" w:rsidRPr="009E5F94" w:rsidRDefault="00295A6B" w:rsidP="009B6A7B">
      <w:pPr>
        <w:pStyle w:val="a7"/>
        <w:numPr>
          <w:ilvl w:val="0"/>
          <w:numId w:val="8"/>
        </w:numPr>
        <w:spacing w:line="276" w:lineRule="auto"/>
        <w:ind w:firstLineChars="0"/>
        <w:rPr>
          <w:rFonts w:asciiTheme="minorEastAsia" w:hAnsiTheme="minorEastAsia"/>
          <w:sz w:val="22"/>
          <w:szCs w:val="24"/>
          <w:u w:val="single"/>
        </w:rPr>
      </w:pPr>
      <w:r w:rsidRPr="009E5F94">
        <w:rPr>
          <w:rFonts w:asciiTheme="minorEastAsia" w:hAnsiTheme="minorEastAsia" w:hint="eastAsia"/>
          <w:b/>
          <w:bCs/>
          <w:color w:val="0070C0"/>
          <w:sz w:val="22"/>
          <w:szCs w:val="24"/>
        </w:rPr>
        <w:t>吕不韦</w:t>
      </w:r>
      <w:r>
        <w:rPr>
          <w:rFonts w:asciiTheme="minorEastAsia" w:hAnsiTheme="minorEastAsia" w:hint="eastAsia"/>
          <w:sz w:val="22"/>
          <w:szCs w:val="24"/>
        </w:rPr>
        <w:t>：</w:t>
      </w:r>
      <w:r w:rsidRPr="00295A6B">
        <w:rPr>
          <w:rFonts w:asciiTheme="minorEastAsia" w:hAnsiTheme="minorEastAsia" w:hint="eastAsia"/>
          <w:sz w:val="22"/>
          <w:szCs w:val="24"/>
        </w:rPr>
        <w:t>卫国濮阳人，秦庄襄王时为丞相，封文信侯。</w:t>
      </w:r>
      <w:proofErr w:type="gramStart"/>
      <w:r w:rsidRPr="00295A6B">
        <w:rPr>
          <w:rFonts w:asciiTheme="minorEastAsia" w:hAnsiTheme="minorEastAsia" w:hint="eastAsia"/>
          <w:sz w:val="22"/>
          <w:szCs w:val="24"/>
        </w:rPr>
        <w:t>秦统六</w:t>
      </w:r>
      <w:proofErr w:type="gramEnd"/>
      <w:r w:rsidRPr="00295A6B">
        <w:rPr>
          <w:rFonts w:asciiTheme="minorEastAsia" w:hAnsiTheme="minorEastAsia" w:hint="eastAsia"/>
          <w:sz w:val="22"/>
          <w:szCs w:val="24"/>
        </w:rPr>
        <w:t>国前夕，吕不韦招集门客编撰《吕氏春秋》</w:t>
      </w:r>
      <w:r w:rsidRPr="00295A6B">
        <w:rPr>
          <w:rFonts w:asciiTheme="minorEastAsia" w:hAnsiTheme="minorEastAsia"/>
          <w:sz w:val="22"/>
          <w:szCs w:val="24"/>
        </w:rPr>
        <w:t>(又称《吕览》)，</w:t>
      </w:r>
      <w:r w:rsidRPr="009E5F94">
        <w:rPr>
          <w:rFonts w:asciiTheme="minorEastAsia" w:hAnsiTheme="minorEastAsia"/>
          <w:sz w:val="22"/>
          <w:szCs w:val="24"/>
          <w:u w:val="single"/>
        </w:rPr>
        <w:t>为统一后治理天下进行思想上、理论上的准备。</w:t>
      </w:r>
    </w:p>
    <w:p w14:paraId="72DC5D36" w14:textId="77777777" w:rsidR="00295A6B" w:rsidRPr="009E5F94" w:rsidRDefault="00295A6B" w:rsidP="009B6A7B">
      <w:pPr>
        <w:pStyle w:val="a7"/>
        <w:numPr>
          <w:ilvl w:val="0"/>
          <w:numId w:val="8"/>
        </w:numPr>
        <w:spacing w:line="276" w:lineRule="auto"/>
        <w:ind w:firstLineChars="0"/>
        <w:rPr>
          <w:rFonts w:asciiTheme="minorEastAsia" w:hAnsiTheme="minorEastAsia"/>
          <w:b/>
          <w:bCs/>
          <w:sz w:val="22"/>
          <w:szCs w:val="24"/>
        </w:rPr>
      </w:pPr>
      <w:r w:rsidRPr="009E5F94">
        <w:rPr>
          <w:rFonts w:asciiTheme="minorEastAsia" w:hAnsiTheme="minorEastAsia" w:hint="eastAsia"/>
          <w:b/>
          <w:bCs/>
          <w:sz w:val="22"/>
          <w:szCs w:val="24"/>
          <w:highlight w:val="cyan"/>
        </w:rPr>
        <w:t>《吕氏春秋》</w:t>
      </w:r>
    </w:p>
    <w:p w14:paraId="1A1525E2" w14:textId="4907726D" w:rsidR="00295A6B" w:rsidRPr="00295A6B" w:rsidRDefault="00295A6B" w:rsidP="009B6A7B">
      <w:pPr>
        <w:pStyle w:val="a7"/>
        <w:spacing w:line="276" w:lineRule="auto"/>
        <w:ind w:left="580" w:firstLineChars="0" w:firstLine="0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 w:hint="eastAsia"/>
          <w:sz w:val="22"/>
          <w:szCs w:val="24"/>
        </w:rPr>
        <w:t>（1） 内容：</w:t>
      </w:r>
      <w:r w:rsidRPr="00295A6B">
        <w:rPr>
          <w:rFonts w:asciiTheme="minorEastAsia" w:hAnsiTheme="minorEastAsia" w:hint="eastAsia"/>
          <w:sz w:val="22"/>
          <w:szCs w:val="24"/>
        </w:rPr>
        <w:t>分为</w:t>
      </w:r>
      <w:r w:rsidRPr="009E5F94">
        <w:rPr>
          <w:rFonts w:asciiTheme="minorEastAsia" w:hAnsiTheme="minorEastAsia" w:hint="eastAsia"/>
          <w:sz w:val="22"/>
          <w:szCs w:val="24"/>
          <w:u w:val="single"/>
        </w:rPr>
        <w:t>十二纪、八</w:t>
      </w:r>
      <w:proofErr w:type="gramStart"/>
      <w:r w:rsidRPr="009E5F94">
        <w:rPr>
          <w:rFonts w:asciiTheme="minorEastAsia" w:hAnsiTheme="minorEastAsia" w:hint="eastAsia"/>
          <w:sz w:val="22"/>
          <w:szCs w:val="24"/>
          <w:u w:val="single"/>
        </w:rPr>
        <w:t>览</w:t>
      </w:r>
      <w:proofErr w:type="gramEnd"/>
      <w:r w:rsidRPr="009E5F94">
        <w:rPr>
          <w:rFonts w:asciiTheme="minorEastAsia" w:hAnsiTheme="minorEastAsia" w:hint="eastAsia"/>
          <w:sz w:val="22"/>
          <w:szCs w:val="24"/>
          <w:u w:val="single"/>
        </w:rPr>
        <w:t>、六论</w:t>
      </w:r>
      <w:r w:rsidRPr="00295A6B">
        <w:rPr>
          <w:rFonts w:asciiTheme="minorEastAsia" w:hAnsiTheme="minorEastAsia" w:hint="eastAsia"/>
          <w:sz w:val="22"/>
          <w:szCs w:val="24"/>
        </w:rPr>
        <w:t>。十二</w:t>
      </w:r>
      <w:proofErr w:type="gramStart"/>
      <w:r w:rsidRPr="00295A6B">
        <w:rPr>
          <w:rFonts w:asciiTheme="minorEastAsia" w:hAnsiTheme="minorEastAsia" w:hint="eastAsia"/>
          <w:sz w:val="22"/>
          <w:szCs w:val="24"/>
        </w:rPr>
        <w:t>纪每纪五篇</w:t>
      </w:r>
      <w:proofErr w:type="gramEnd"/>
      <w:r w:rsidRPr="00295A6B">
        <w:rPr>
          <w:rFonts w:asciiTheme="minorEastAsia" w:hAnsiTheme="minorEastAsia" w:hint="eastAsia"/>
          <w:sz w:val="22"/>
          <w:szCs w:val="24"/>
        </w:rPr>
        <w:t>，共六十篇；八</w:t>
      </w:r>
      <w:proofErr w:type="gramStart"/>
      <w:r w:rsidRPr="00295A6B">
        <w:rPr>
          <w:rFonts w:asciiTheme="minorEastAsia" w:hAnsiTheme="minorEastAsia" w:hint="eastAsia"/>
          <w:sz w:val="22"/>
          <w:szCs w:val="24"/>
        </w:rPr>
        <w:t>览</w:t>
      </w:r>
      <w:proofErr w:type="gramEnd"/>
      <w:r w:rsidRPr="00295A6B">
        <w:rPr>
          <w:rFonts w:asciiTheme="minorEastAsia" w:hAnsiTheme="minorEastAsia" w:hint="eastAsia"/>
          <w:sz w:val="22"/>
          <w:szCs w:val="24"/>
        </w:rPr>
        <w:t>中《有始览》今存七篇，其惊每</w:t>
      </w:r>
      <w:proofErr w:type="gramStart"/>
      <w:r w:rsidRPr="00295A6B">
        <w:rPr>
          <w:rFonts w:asciiTheme="minorEastAsia" w:hAnsiTheme="minorEastAsia" w:hint="eastAsia"/>
          <w:sz w:val="22"/>
          <w:szCs w:val="24"/>
        </w:rPr>
        <w:t>览</w:t>
      </w:r>
      <w:proofErr w:type="gramEnd"/>
      <w:r w:rsidRPr="00295A6B">
        <w:rPr>
          <w:rFonts w:asciiTheme="minorEastAsia" w:hAnsiTheme="minorEastAsia" w:hint="eastAsia"/>
          <w:sz w:val="22"/>
          <w:szCs w:val="24"/>
        </w:rPr>
        <w:t>人篇，共六十三篇；六</w:t>
      </w:r>
      <w:proofErr w:type="gramStart"/>
      <w:r w:rsidRPr="00295A6B">
        <w:rPr>
          <w:rFonts w:asciiTheme="minorEastAsia" w:hAnsiTheme="minorEastAsia" w:hint="eastAsia"/>
          <w:sz w:val="22"/>
          <w:szCs w:val="24"/>
        </w:rPr>
        <w:t>论每论</w:t>
      </w:r>
      <w:proofErr w:type="gramEnd"/>
      <w:r w:rsidRPr="00295A6B">
        <w:rPr>
          <w:rFonts w:asciiTheme="minorEastAsia" w:hAnsiTheme="minorEastAsia" w:hint="eastAsia"/>
          <w:sz w:val="22"/>
          <w:szCs w:val="24"/>
        </w:rPr>
        <w:t>六篇，共三十六篇。加上《序意》，今存凡一百六十篇。</w:t>
      </w:r>
    </w:p>
    <w:p w14:paraId="661413DB" w14:textId="3D5674AC" w:rsidR="00295A6B" w:rsidRDefault="00295A6B" w:rsidP="00295A6B">
      <w:pPr>
        <w:pStyle w:val="a7"/>
        <w:ind w:left="580" w:firstLineChars="0" w:firstLine="0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 w:hint="eastAsia"/>
          <w:sz w:val="22"/>
          <w:szCs w:val="24"/>
        </w:rPr>
        <w:t>（2）</w:t>
      </w:r>
      <w:r w:rsidRPr="009E5F94">
        <w:rPr>
          <w:rFonts w:asciiTheme="minorEastAsia" w:hAnsiTheme="minorEastAsia" w:hint="eastAsia"/>
          <w:b/>
          <w:bCs/>
          <w:color w:val="FF0000"/>
          <w:sz w:val="22"/>
          <w:szCs w:val="24"/>
        </w:rPr>
        <w:t>特点</w:t>
      </w:r>
      <w:r>
        <w:rPr>
          <w:rFonts w:asciiTheme="minorEastAsia" w:hAnsiTheme="minorEastAsia" w:hint="eastAsia"/>
          <w:sz w:val="22"/>
          <w:szCs w:val="24"/>
        </w:rPr>
        <w:t>：</w:t>
      </w:r>
    </w:p>
    <w:p w14:paraId="1F74C08A" w14:textId="7C060890" w:rsidR="003A4FAD" w:rsidRPr="003A4FAD" w:rsidRDefault="003A4FAD" w:rsidP="009B6A7B">
      <w:pPr>
        <w:pStyle w:val="a7"/>
        <w:numPr>
          <w:ilvl w:val="0"/>
          <w:numId w:val="9"/>
        </w:numPr>
        <w:spacing w:line="276" w:lineRule="auto"/>
        <w:ind w:firstLineChars="0"/>
        <w:rPr>
          <w:rFonts w:asciiTheme="minorEastAsia" w:hAnsiTheme="minorEastAsia"/>
          <w:sz w:val="22"/>
          <w:szCs w:val="24"/>
        </w:rPr>
      </w:pPr>
      <w:r w:rsidRPr="003A4FAD">
        <w:rPr>
          <w:rFonts w:asciiTheme="minorEastAsia" w:hAnsiTheme="minorEastAsia" w:hint="eastAsia"/>
          <w:sz w:val="22"/>
          <w:szCs w:val="24"/>
        </w:rPr>
        <w:t>此书</w:t>
      </w:r>
      <w:r w:rsidRPr="009E5F94">
        <w:rPr>
          <w:rFonts w:asciiTheme="minorEastAsia" w:hAnsiTheme="minorEastAsia" w:hint="eastAsia"/>
          <w:sz w:val="22"/>
          <w:szCs w:val="24"/>
          <w:u w:val="single"/>
        </w:rPr>
        <w:t>采诸子百家之长，并用一定的主导思想把它们贯穿起来</w:t>
      </w:r>
      <w:r w:rsidRPr="003A4FAD">
        <w:rPr>
          <w:rFonts w:asciiTheme="minorEastAsia" w:hAnsiTheme="minorEastAsia" w:hint="eastAsia"/>
          <w:sz w:val="22"/>
          <w:szCs w:val="24"/>
        </w:rPr>
        <w:t>，反映了战国末期思想融合的趋势。</w:t>
      </w:r>
    </w:p>
    <w:p w14:paraId="02976D09" w14:textId="47F641F2" w:rsidR="003A4FAD" w:rsidRPr="003A4FAD" w:rsidRDefault="003A4FAD" w:rsidP="009B6A7B">
      <w:pPr>
        <w:pStyle w:val="a7"/>
        <w:numPr>
          <w:ilvl w:val="0"/>
          <w:numId w:val="9"/>
        </w:numPr>
        <w:spacing w:line="276" w:lineRule="auto"/>
        <w:ind w:firstLineChars="0"/>
        <w:rPr>
          <w:rFonts w:asciiTheme="minorEastAsia" w:hAnsiTheme="minorEastAsia"/>
          <w:sz w:val="22"/>
          <w:szCs w:val="24"/>
        </w:rPr>
      </w:pPr>
      <w:r w:rsidRPr="003A4FAD">
        <w:rPr>
          <w:rFonts w:asciiTheme="minorEastAsia" w:hAnsiTheme="minorEastAsia" w:hint="eastAsia"/>
          <w:sz w:val="22"/>
          <w:szCs w:val="24"/>
        </w:rPr>
        <w:t>《吕氏春秋》体例严整，</w:t>
      </w:r>
      <w:r w:rsidRPr="009E5F94">
        <w:rPr>
          <w:rFonts w:asciiTheme="minorEastAsia" w:hAnsiTheme="minorEastAsia" w:hint="eastAsia"/>
          <w:sz w:val="22"/>
          <w:szCs w:val="24"/>
          <w:u w:val="single"/>
        </w:rPr>
        <w:t>十二纪的框架是借鉴阴阳家的理论而精心设计的</w:t>
      </w:r>
      <w:r w:rsidRPr="003A4FAD">
        <w:rPr>
          <w:rFonts w:asciiTheme="minorEastAsia" w:hAnsiTheme="minorEastAsia" w:hint="eastAsia"/>
          <w:sz w:val="22"/>
          <w:szCs w:val="24"/>
        </w:rPr>
        <w:t>。它依照一年十二个月的顺序排列，</w:t>
      </w:r>
      <w:r w:rsidRPr="009E5F94">
        <w:rPr>
          <w:rFonts w:asciiTheme="minorEastAsia" w:hAnsiTheme="minorEastAsia" w:hint="eastAsia"/>
          <w:sz w:val="22"/>
          <w:szCs w:val="24"/>
          <w:u w:val="single"/>
        </w:rPr>
        <w:t>体现了四时的运行及阴阳五行观念</w:t>
      </w:r>
      <w:r w:rsidRPr="003A4FAD">
        <w:rPr>
          <w:rFonts w:asciiTheme="minorEastAsia" w:hAnsiTheme="minorEastAsia" w:hint="eastAsia"/>
          <w:sz w:val="22"/>
          <w:szCs w:val="24"/>
        </w:rPr>
        <w:t>。</w:t>
      </w:r>
    </w:p>
    <w:p w14:paraId="38C6C6CC" w14:textId="0F3AB921" w:rsidR="003A4FAD" w:rsidRPr="009E5F94" w:rsidRDefault="003A4FAD" w:rsidP="009B6A7B">
      <w:pPr>
        <w:pStyle w:val="a7"/>
        <w:numPr>
          <w:ilvl w:val="0"/>
          <w:numId w:val="9"/>
        </w:numPr>
        <w:spacing w:line="276" w:lineRule="auto"/>
        <w:ind w:firstLineChars="0"/>
        <w:rPr>
          <w:rFonts w:asciiTheme="minorEastAsia" w:hAnsiTheme="minorEastAsia"/>
          <w:sz w:val="22"/>
          <w:szCs w:val="24"/>
          <w:u w:val="single"/>
        </w:rPr>
      </w:pPr>
      <w:r w:rsidRPr="003A4FAD">
        <w:rPr>
          <w:rFonts w:asciiTheme="minorEastAsia" w:hAnsiTheme="minorEastAsia" w:hint="eastAsia"/>
          <w:sz w:val="22"/>
          <w:szCs w:val="24"/>
        </w:rPr>
        <w:t>《吕氏春秋》各篇文章大多</w:t>
      </w:r>
      <w:r w:rsidRPr="009E5F94">
        <w:rPr>
          <w:rFonts w:asciiTheme="minorEastAsia" w:hAnsiTheme="minorEastAsia" w:hint="eastAsia"/>
          <w:sz w:val="22"/>
          <w:szCs w:val="24"/>
          <w:u w:val="single"/>
        </w:rPr>
        <w:t>先提出论题，说明篇旨，然后以具体事实或寓言故事论证，最后加以总结</w:t>
      </w:r>
      <w:r w:rsidR="009E5F94">
        <w:rPr>
          <w:rFonts w:asciiTheme="minorEastAsia" w:hAnsiTheme="minorEastAsia" w:hint="eastAsia"/>
          <w:sz w:val="22"/>
          <w:szCs w:val="24"/>
        </w:rPr>
        <w:t>；</w:t>
      </w:r>
      <w:r w:rsidRPr="009E5F94">
        <w:rPr>
          <w:rFonts w:asciiTheme="minorEastAsia" w:hAnsiTheme="minorEastAsia"/>
          <w:sz w:val="22"/>
          <w:szCs w:val="24"/>
          <w:u w:val="single"/>
        </w:rPr>
        <w:t>论证条理清晰，文风平实畅达，语言简明易懂。</w:t>
      </w:r>
    </w:p>
    <w:p w14:paraId="52AACE2D" w14:textId="33C68229" w:rsidR="00144172" w:rsidRDefault="00144172" w:rsidP="003A4FAD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/>
          <w:sz w:val="24"/>
          <w:szCs w:val="28"/>
        </w:rPr>
      </w:pPr>
      <w:r w:rsidRPr="00621EF9">
        <w:rPr>
          <w:rFonts w:ascii="黑体" w:eastAsia="黑体" w:hAnsi="黑体" w:hint="eastAsia"/>
          <w:sz w:val="24"/>
          <w:szCs w:val="28"/>
        </w:rPr>
        <w:t>李斯的</w:t>
      </w:r>
      <w:r w:rsidRPr="009E5F94">
        <w:rPr>
          <w:rFonts w:ascii="黑体" w:eastAsia="黑体" w:hAnsi="黑体" w:hint="eastAsia"/>
          <w:b/>
          <w:bCs/>
          <w:sz w:val="24"/>
          <w:szCs w:val="28"/>
          <w:highlight w:val="cyan"/>
        </w:rPr>
        <w:t>《谏逐客书》</w:t>
      </w:r>
    </w:p>
    <w:p w14:paraId="3F642B3A" w14:textId="130F3659" w:rsidR="003A4FAD" w:rsidRPr="003A4FAD" w:rsidRDefault="003A4FAD" w:rsidP="009B6A7B">
      <w:pPr>
        <w:pStyle w:val="a7"/>
        <w:numPr>
          <w:ilvl w:val="0"/>
          <w:numId w:val="11"/>
        </w:numPr>
        <w:spacing w:line="276" w:lineRule="auto"/>
        <w:ind w:firstLineChars="0"/>
        <w:rPr>
          <w:rFonts w:asciiTheme="minorEastAsia" w:hAnsiTheme="minorEastAsia"/>
          <w:sz w:val="22"/>
          <w:szCs w:val="24"/>
        </w:rPr>
      </w:pPr>
      <w:r w:rsidRPr="003A4FAD">
        <w:rPr>
          <w:rFonts w:asciiTheme="minorEastAsia" w:hAnsiTheme="minorEastAsia" w:hint="eastAsia"/>
          <w:sz w:val="22"/>
          <w:szCs w:val="24"/>
        </w:rPr>
        <w:t>《谏逐客书》最突出的</w:t>
      </w:r>
      <w:r w:rsidRPr="009E5F94">
        <w:rPr>
          <w:rFonts w:asciiTheme="minorEastAsia" w:hAnsiTheme="minorEastAsia" w:hint="eastAsia"/>
          <w:b/>
          <w:bCs/>
          <w:color w:val="FF0000"/>
          <w:sz w:val="22"/>
          <w:szCs w:val="24"/>
        </w:rPr>
        <w:t>特点</w:t>
      </w:r>
      <w:r w:rsidRPr="003A4FAD">
        <w:rPr>
          <w:rFonts w:asciiTheme="minorEastAsia" w:hAnsiTheme="minorEastAsia" w:hint="eastAsia"/>
          <w:sz w:val="22"/>
          <w:szCs w:val="24"/>
        </w:rPr>
        <w:t>是</w:t>
      </w:r>
      <w:r w:rsidRPr="009E5F94">
        <w:rPr>
          <w:rFonts w:asciiTheme="minorEastAsia" w:hAnsiTheme="minorEastAsia" w:hint="eastAsia"/>
          <w:sz w:val="22"/>
          <w:szCs w:val="24"/>
          <w:u w:val="single"/>
        </w:rPr>
        <w:t>从秦国的利益着眼，摆事实，讲道理，指出秦所以能国富民强，皆因客卿之助</w:t>
      </w:r>
      <w:r w:rsidRPr="003A4FAD">
        <w:rPr>
          <w:rFonts w:asciiTheme="minorEastAsia" w:hAnsiTheme="minorEastAsia" w:hint="eastAsia"/>
          <w:sz w:val="22"/>
          <w:szCs w:val="24"/>
        </w:rPr>
        <w:t>。</w:t>
      </w:r>
    </w:p>
    <w:p w14:paraId="617C1C8F" w14:textId="39A53C83" w:rsidR="003A4FAD" w:rsidRPr="003A4FAD" w:rsidRDefault="003A4FAD" w:rsidP="009B6A7B">
      <w:pPr>
        <w:pStyle w:val="a7"/>
        <w:numPr>
          <w:ilvl w:val="0"/>
          <w:numId w:val="11"/>
        </w:numPr>
        <w:spacing w:line="276" w:lineRule="auto"/>
        <w:ind w:firstLineChars="0"/>
        <w:rPr>
          <w:rFonts w:asciiTheme="minorEastAsia" w:hAnsiTheme="minorEastAsia"/>
          <w:sz w:val="22"/>
          <w:szCs w:val="24"/>
        </w:rPr>
      </w:pPr>
      <w:r w:rsidRPr="003A4FAD">
        <w:rPr>
          <w:rFonts w:asciiTheme="minorEastAsia" w:hAnsiTheme="minorEastAsia" w:hint="eastAsia"/>
          <w:sz w:val="22"/>
          <w:szCs w:val="24"/>
        </w:rPr>
        <w:t>《谏逐客书》论证充分，说理严密，</w:t>
      </w:r>
      <w:r w:rsidRPr="009E5F94">
        <w:rPr>
          <w:rFonts w:asciiTheme="minorEastAsia" w:hAnsiTheme="minorEastAsia" w:hint="eastAsia"/>
          <w:sz w:val="22"/>
          <w:szCs w:val="24"/>
          <w:u w:val="single"/>
        </w:rPr>
        <w:t>多用铺陈排比，音节铿锵，气势奔放</w:t>
      </w:r>
      <w:r w:rsidRPr="003A4FAD">
        <w:rPr>
          <w:rFonts w:asciiTheme="minorEastAsia" w:hAnsiTheme="minorEastAsia" w:hint="eastAsia"/>
          <w:sz w:val="22"/>
          <w:szCs w:val="24"/>
        </w:rPr>
        <w:t>。</w:t>
      </w:r>
    </w:p>
    <w:p w14:paraId="0B7FF8F9" w14:textId="618B76F0" w:rsidR="00144172" w:rsidRDefault="00144172" w:rsidP="003A4FAD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/>
          <w:sz w:val="24"/>
          <w:szCs w:val="28"/>
        </w:rPr>
      </w:pPr>
      <w:r w:rsidRPr="00621EF9">
        <w:rPr>
          <w:rFonts w:ascii="黑体" w:eastAsia="黑体" w:hAnsi="黑体" w:hint="eastAsia"/>
          <w:sz w:val="24"/>
          <w:szCs w:val="28"/>
        </w:rPr>
        <w:t>秦刻石文</w:t>
      </w:r>
    </w:p>
    <w:p w14:paraId="2EBD5A98" w14:textId="77777777" w:rsidR="003A4FAD" w:rsidRPr="003A4FAD" w:rsidRDefault="003A4FAD" w:rsidP="003A4FAD">
      <w:pPr>
        <w:spacing w:line="60" w:lineRule="auto"/>
        <w:rPr>
          <w:rFonts w:ascii="楷体" w:eastAsia="楷体" w:hAnsi="楷体"/>
          <w:color w:val="0070C0"/>
          <w:sz w:val="24"/>
          <w:szCs w:val="28"/>
        </w:rPr>
      </w:pPr>
      <w:r w:rsidRPr="003A4FAD">
        <w:rPr>
          <w:rFonts w:ascii="楷体" w:eastAsia="楷体" w:hAnsi="楷体" w:hint="eastAsia"/>
          <w:color w:val="0070C0"/>
          <w:sz w:val="24"/>
          <w:szCs w:val="28"/>
        </w:rPr>
        <w:t>史载，秦始皇多次出巡，先后在</w:t>
      </w:r>
      <w:proofErr w:type="gramStart"/>
      <w:r w:rsidRPr="003A4FAD">
        <w:rPr>
          <w:rFonts w:ascii="楷体" w:eastAsia="楷体" w:hAnsi="楷体" w:hint="eastAsia"/>
          <w:color w:val="0070C0"/>
          <w:sz w:val="24"/>
          <w:szCs w:val="28"/>
        </w:rPr>
        <w:t>峄</w:t>
      </w:r>
      <w:proofErr w:type="gramEnd"/>
      <w:r w:rsidRPr="003A4FAD">
        <w:rPr>
          <w:rFonts w:ascii="楷体" w:eastAsia="楷体" w:hAnsi="楷体" w:hint="eastAsia"/>
          <w:color w:val="0070C0"/>
          <w:sz w:val="24"/>
          <w:szCs w:val="28"/>
        </w:rPr>
        <w:t>山、泰山、</w:t>
      </w:r>
      <w:proofErr w:type="gramStart"/>
      <w:r w:rsidRPr="003A4FAD">
        <w:rPr>
          <w:rFonts w:ascii="楷体" w:eastAsia="楷体" w:hAnsi="楷体" w:hint="eastAsia"/>
          <w:color w:val="0070C0"/>
          <w:sz w:val="24"/>
          <w:szCs w:val="28"/>
        </w:rPr>
        <w:t>琅</w:t>
      </w:r>
      <w:proofErr w:type="gramEnd"/>
      <w:r w:rsidRPr="003A4FAD">
        <w:rPr>
          <w:rFonts w:ascii="楷体" w:eastAsia="楷体" w:hAnsi="楷体" w:hint="eastAsia"/>
          <w:color w:val="0070C0"/>
          <w:sz w:val="24"/>
          <w:szCs w:val="28"/>
        </w:rPr>
        <w:t>邪台、之</w:t>
      </w:r>
      <w:proofErr w:type="gramStart"/>
      <w:r w:rsidRPr="003A4FAD">
        <w:rPr>
          <w:rFonts w:ascii="楷体" w:eastAsia="楷体" w:hAnsi="楷体" w:hint="eastAsia"/>
          <w:color w:val="0070C0"/>
          <w:sz w:val="24"/>
          <w:szCs w:val="28"/>
        </w:rPr>
        <w:t>罘</w:t>
      </w:r>
      <w:proofErr w:type="gramEnd"/>
      <w:r w:rsidRPr="003A4FAD">
        <w:rPr>
          <w:rFonts w:ascii="楷体" w:eastAsia="楷体" w:hAnsi="楷体" w:hint="eastAsia"/>
          <w:color w:val="0070C0"/>
          <w:sz w:val="24"/>
          <w:szCs w:val="28"/>
        </w:rPr>
        <w:t>、东观、碣石、会</w:t>
      </w:r>
      <w:proofErr w:type="gramStart"/>
      <w:r w:rsidRPr="003A4FAD">
        <w:rPr>
          <w:rFonts w:ascii="楷体" w:eastAsia="楷体" w:hAnsi="楷体" w:hint="eastAsia"/>
          <w:color w:val="0070C0"/>
          <w:sz w:val="24"/>
          <w:szCs w:val="28"/>
        </w:rPr>
        <w:t>稽</w:t>
      </w:r>
      <w:proofErr w:type="gramEnd"/>
      <w:r w:rsidRPr="003A4FAD">
        <w:rPr>
          <w:rFonts w:ascii="楷体" w:eastAsia="楷体" w:hAnsi="楷体" w:hint="eastAsia"/>
          <w:color w:val="0070C0"/>
          <w:sz w:val="24"/>
          <w:szCs w:val="28"/>
        </w:rPr>
        <w:t>刻石。</w:t>
      </w:r>
    </w:p>
    <w:p w14:paraId="6551D4A1" w14:textId="17E9085F" w:rsidR="003A4FAD" w:rsidRPr="003A4FAD" w:rsidRDefault="003A4FAD" w:rsidP="009B6A7B">
      <w:pPr>
        <w:pStyle w:val="a7"/>
        <w:numPr>
          <w:ilvl w:val="0"/>
          <w:numId w:val="12"/>
        </w:numPr>
        <w:spacing w:line="276" w:lineRule="auto"/>
        <w:ind w:firstLineChars="0"/>
        <w:rPr>
          <w:rFonts w:asciiTheme="minorEastAsia" w:hAnsiTheme="minorEastAsia"/>
          <w:sz w:val="22"/>
          <w:szCs w:val="24"/>
        </w:rPr>
      </w:pPr>
      <w:r w:rsidRPr="003A4FAD">
        <w:rPr>
          <w:rFonts w:asciiTheme="minorEastAsia" w:hAnsiTheme="minorEastAsia" w:hint="eastAsia"/>
          <w:sz w:val="22"/>
          <w:szCs w:val="24"/>
        </w:rPr>
        <w:t>这些刻石文</w:t>
      </w:r>
      <w:proofErr w:type="gramStart"/>
      <w:r w:rsidRPr="003A4FAD">
        <w:rPr>
          <w:rFonts w:asciiTheme="minorEastAsia" w:hAnsiTheme="minorEastAsia" w:hint="eastAsia"/>
          <w:sz w:val="22"/>
          <w:szCs w:val="24"/>
        </w:rPr>
        <w:t>出自承相李斯</w:t>
      </w:r>
      <w:proofErr w:type="gramEnd"/>
      <w:r w:rsidRPr="003A4FAD">
        <w:rPr>
          <w:rFonts w:asciiTheme="minorEastAsia" w:hAnsiTheme="minorEastAsia" w:hint="eastAsia"/>
          <w:sz w:val="22"/>
          <w:szCs w:val="24"/>
        </w:rPr>
        <w:t>之手，内容主要是对秦始皇所建功业的赞颂。</w:t>
      </w:r>
    </w:p>
    <w:p w14:paraId="3E5ECF52" w14:textId="0F71C06C" w:rsidR="003A4FAD" w:rsidRDefault="003A4FAD" w:rsidP="009B6A7B">
      <w:pPr>
        <w:pStyle w:val="a7"/>
        <w:numPr>
          <w:ilvl w:val="0"/>
          <w:numId w:val="12"/>
        </w:numPr>
        <w:spacing w:line="276" w:lineRule="auto"/>
        <w:ind w:firstLineChars="0"/>
        <w:rPr>
          <w:rFonts w:asciiTheme="minorEastAsia" w:hAnsiTheme="minorEastAsia"/>
          <w:sz w:val="22"/>
          <w:szCs w:val="24"/>
        </w:rPr>
      </w:pPr>
      <w:r w:rsidRPr="003A4FAD">
        <w:rPr>
          <w:rFonts w:asciiTheme="minorEastAsia" w:hAnsiTheme="minorEastAsia" w:hint="eastAsia"/>
          <w:sz w:val="22"/>
          <w:szCs w:val="24"/>
        </w:rPr>
        <w:t>从文体上说，</w:t>
      </w:r>
      <w:r w:rsidRPr="009E5F94">
        <w:rPr>
          <w:rFonts w:asciiTheme="minorEastAsia" w:hAnsiTheme="minorEastAsia" w:hint="eastAsia"/>
          <w:sz w:val="22"/>
          <w:szCs w:val="24"/>
          <w:u w:val="single"/>
        </w:rPr>
        <w:t>刻石文源于铭颂</w:t>
      </w:r>
      <w:r w:rsidRPr="003A4FAD">
        <w:rPr>
          <w:rFonts w:asciiTheme="minorEastAsia" w:hAnsiTheme="minorEastAsia" w:hint="eastAsia"/>
          <w:sz w:val="22"/>
          <w:szCs w:val="24"/>
        </w:rPr>
        <w:t>。</w:t>
      </w:r>
      <w:r w:rsidRPr="009E5F94">
        <w:rPr>
          <w:rFonts w:asciiTheme="minorEastAsia" w:hAnsiTheme="minorEastAsia" w:hint="eastAsia"/>
          <w:sz w:val="22"/>
          <w:szCs w:val="24"/>
          <w:u w:val="single"/>
        </w:rPr>
        <w:t>颂系庙堂诗章，</w:t>
      </w:r>
      <w:proofErr w:type="gramStart"/>
      <w:r w:rsidRPr="009E5F94">
        <w:rPr>
          <w:rFonts w:asciiTheme="minorEastAsia" w:hAnsiTheme="minorEastAsia" w:hint="eastAsia"/>
          <w:sz w:val="22"/>
          <w:szCs w:val="24"/>
          <w:u w:val="single"/>
        </w:rPr>
        <w:t>雍容典重</w:t>
      </w:r>
      <w:proofErr w:type="gramEnd"/>
      <w:r w:rsidRPr="009E5F94">
        <w:rPr>
          <w:rFonts w:asciiTheme="minorEastAsia" w:hAnsiTheme="minorEastAsia"/>
          <w:sz w:val="22"/>
          <w:szCs w:val="24"/>
          <w:u w:val="single"/>
        </w:rPr>
        <w:t>;铭文因限于刻铸，辞句简古</w:t>
      </w:r>
      <w:r w:rsidRPr="003A4FAD">
        <w:rPr>
          <w:rFonts w:asciiTheme="minorEastAsia" w:hAnsiTheme="minorEastAsia"/>
          <w:sz w:val="22"/>
          <w:szCs w:val="24"/>
        </w:rPr>
        <w:t>。秦刻石文篇幅大都不长，</w:t>
      </w:r>
      <w:r w:rsidRPr="009E5F94">
        <w:rPr>
          <w:rFonts w:asciiTheme="minorEastAsia" w:hAnsiTheme="minorEastAsia"/>
          <w:color w:val="FF0000"/>
          <w:sz w:val="22"/>
          <w:szCs w:val="24"/>
        </w:rPr>
        <w:t>风格浑厚古朴</w:t>
      </w:r>
      <w:r w:rsidRPr="003A4FAD">
        <w:rPr>
          <w:rFonts w:asciiTheme="minorEastAsia" w:hAnsiTheme="minorEastAsia"/>
          <w:sz w:val="22"/>
          <w:szCs w:val="24"/>
        </w:rPr>
        <w:t>。</w:t>
      </w:r>
    </w:p>
    <w:p w14:paraId="19EFB598" w14:textId="77777777" w:rsidR="003A4FAD" w:rsidRPr="003A4FAD" w:rsidRDefault="003A4FAD" w:rsidP="003A4FAD">
      <w:pPr>
        <w:spacing w:line="60" w:lineRule="auto"/>
        <w:rPr>
          <w:rFonts w:asciiTheme="minorEastAsia" w:hAnsiTheme="minorEastAsia"/>
          <w:sz w:val="22"/>
          <w:szCs w:val="24"/>
        </w:rPr>
      </w:pPr>
    </w:p>
    <w:p w14:paraId="1EF68BAF" w14:textId="5B43C2C2" w:rsidR="00144172" w:rsidRPr="00621EF9" w:rsidRDefault="00144172" w:rsidP="00621EF9">
      <w:pPr>
        <w:ind w:left="-200"/>
        <w:rPr>
          <w:rFonts w:ascii="微软雅黑" w:eastAsia="微软雅黑" w:hAnsi="微软雅黑" w:cs="微软雅黑"/>
          <w:kern w:val="0"/>
          <w:sz w:val="24"/>
          <w:szCs w:val="24"/>
        </w:rPr>
      </w:pPr>
      <w:r w:rsidRPr="00621EF9">
        <w:rPr>
          <w:rFonts w:ascii="微软雅黑" w:eastAsia="微软雅黑" w:hAnsi="微软雅黑" w:cs="微软雅黑" w:hint="eastAsia"/>
          <w:kern w:val="0"/>
          <w:sz w:val="24"/>
          <w:szCs w:val="24"/>
        </w:rPr>
        <w:t>第二节、西汉前期的散文</w:t>
      </w:r>
    </w:p>
    <w:p w14:paraId="5193686A" w14:textId="6DA0020C" w:rsidR="00144172" w:rsidRDefault="00144172" w:rsidP="00144172">
      <w:pPr>
        <w:pStyle w:val="a7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8"/>
        </w:rPr>
      </w:pPr>
      <w:r w:rsidRPr="00621EF9">
        <w:rPr>
          <w:rFonts w:ascii="黑体" w:eastAsia="黑体" w:hAnsi="黑体" w:hint="eastAsia"/>
          <w:sz w:val="24"/>
          <w:szCs w:val="28"/>
        </w:rPr>
        <w:t>贾谊的散文</w:t>
      </w:r>
    </w:p>
    <w:p w14:paraId="4FDC79A7" w14:textId="6BFF2BCD" w:rsidR="003928D6" w:rsidRPr="009E5F94" w:rsidRDefault="003928D6" w:rsidP="009B6A7B">
      <w:pPr>
        <w:spacing w:line="276" w:lineRule="auto"/>
        <w:ind w:firstLineChars="200" w:firstLine="440"/>
        <w:rPr>
          <w:b/>
          <w:bCs/>
          <w:sz w:val="22"/>
        </w:rPr>
      </w:pPr>
      <w:r w:rsidRPr="009E5F94">
        <w:rPr>
          <w:rFonts w:hint="eastAsia"/>
          <w:b/>
          <w:bCs/>
          <w:sz w:val="22"/>
          <w:highlight w:val="cyan"/>
        </w:rPr>
        <w:t>《陈政事疏》</w:t>
      </w:r>
    </w:p>
    <w:p w14:paraId="5714DDD8" w14:textId="4F1ABD49" w:rsidR="003928D6" w:rsidRPr="009B6A7B" w:rsidRDefault="003928D6" w:rsidP="009B6A7B">
      <w:pPr>
        <w:spacing w:line="276" w:lineRule="auto"/>
        <w:ind w:firstLineChars="200" w:firstLine="440"/>
        <w:rPr>
          <w:sz w:val="22"/>
        </w:rPr>
      </w:pPr>
      <w:r w:rsidRPr="009B6A7B">
        <w:rPr>
          <w:rFonts w:hint="eastAsia"/>
          <w:sz w:val="22"/>
        </w:rPr>
        <w:t>总结汉初所封异姓诸侯先后反叛的历史教训；在汉期与匈奴的关系上，贾谊反对和亲纳币以图有安的外交政策，力主抵御外侮。</w:t>
      </w:r>
    </w:p>
    <w:p w14:paraId="0BE134B1" w14:textId="77777777" w:rsidR="003928D6" w:rsidRPr="009E5F94" w:rsidRDefault="003928D6" w:rsidP="009B6A7B">
      <w:pPr>
        <w:spacing w:line="276" w:lineRule="auto"/>
        <w:ind w:firstLineChars="200" w:firstLine="440"/>
        <w:rPr>
          <w:b/>
          <w:bCs/>
          <w:sz w:val="22"/>
        </w:rPr>
      </w:pPr>
      <w:r w:rsidRPr="009E5F94">
        <w:rPr>
          <w:rFonts w:hint="eastAsia"/>
          <w:b/>
          <w:bCs/>
          <w:sz w:val="22"/>
          <w:highlight w:val="cyan"/>
        </w:rPr>
        <w:lastRenderedPageBreak/>
        <w:t>《过秦论》</w:t>
      </w:r>
    </w:p>
    <w:p w14:paraId="51B617C6" w14:textId="21EA8A97" w:rsidR="003928D6" w:rsidRPr="009B6A7B" w:rsidRDefault="003928D6" w:rsidP="009B6A7B">
      <w:pPr>
        <w:spacing w:line="276" w:lineRule="auto"/>
        <w:ind w:firstLineChars="200" w:firstLine="440"/>
        <w:rPr>
          <w:sz w:val="22"/>
        </w:rPr>
      </w:pPr>
      <w:r w:rsidRPr="009B6A7B">
        <w:rPr>
          <w:rFonts w:hint="eastAsia"/>
          <w:sz w:val="22"/>
        </w:rPr>
        <w:t>（1）内容：上篇总论秦朝兴亡，中篇揭露统治者骄</w:t>
      </w:r>
      <w:proofErr w:type="gramStart"/>
      <w:r w:rsidRPr="009B6A7B">
        <w:rPr>
          <w:rFonts w:hint="eastAsia"/>
          <w:sz w:val="22"/>
        </w:rPr>
        <w:t>侈</w:t>
      </w:r>
      <w:proofErr w:type="gramEnd"/>
      <w:r w:rsidRPr="009B6A7B">
        <w:rPr>
          <w:rFonts w:hint="eastAsia"/>
          <w:sz w:val="22"/>
        </w:rPr>
        <w:t>扰民，重点批评秦二世之过，下篇批评杜塞言路的高压政策，最后总结秦亡的教训。</w:t>
      </w:r>
    </w:p>
    <w:p w14:paraId="382560BA" w14:textId="7E459626" w:rsidR="003928D6" w:rsidRPr="009B6A7B" w:rsidRDefault="003928D6" w:rsidP="009B6A7B">
      <w:pPr>
        <w:spacing w:line="276" w:lineRule="auto"/>
        <w:ind w:firstLineChars="200" w:firstLine="440"/>
        <w:rPr>
          <w:sz w:val="22"/>
        </w:rPr>
      </w:pPr>
      <w:r w:rsidRPr="009B6A7B">
        <w:rPr>
          <w:rFonts w:hint="eastAsia"/>
          <w:sz w:val="22"/>
        </w:rPr>
        <w:t>（2）</w:t>
      </w:r>
      <w:r w:rsidRPr="009E5F94">
        <w:rPr>
          <w:rFonts w:hint="eastAsia"/>
          <w:b/>
          <w:bCs/>
          <w:color w:val="FF0000"/>
          <w:sz w:val="22"/>
        </w:rPr>
        <w:t>特点</w:t>
      </w:r>
      <w:r w:rsidRPr="009B6A7B">
        <w:rPr>
          <w:rFonts w:hint="eastAsia"/>
          <w:sz w:val="22"/>
        </w:rPr>
        <w:t>：文风雄健畅达，作者善用铺排、夸张、</w:t>
      </w:r>
      <w:r w:rsidRPr="009B6A7B">
        <w:rPr>
          <w:sz w:val="22"/>
        </w:rPr>
        <w:t xml:space="preserve"> 比喻</w:t>
      </w:r>
      <w:proofErr w:type="gramStart"/>
      <w:r w:rsidRPr="009B6A7B">
        <w:rPr>
          <w:sz w:val="22"/>
        </w:rPr>
        <w:t>等修静方法</w:t>
      </w:r>
      <w:proofErr w:type="gramEnd"/>
      <w:r w:rsidRPr="009B6A7B">
        <w:rPr>
          <w:sz w:val="22"/>
        </w:rPr>
        <w:t>，造成一种气势，颇能耸动听闻。文中时见对偶句，但又错落有致，合</w:t>
      </w:r>
      <w:proofErr w:type="gramStart"/>
      <w:r w:rsidRPr="009B6A7B">
        <w:rPr>
          <w:sz w:val="22"/>
        </w:rPr>
        <w:t>平语言</w:t>
      </w:r>
      <w:proofErr w:type="gramEnd"/>
      <w:r w:rsidRPr="009B6A7B">
        <w:rPr>
          <w:sz w:val="22"/>
        </w:rPr>
        <w:t>的自然节奏。</w:t>
      </w:r>
    </w:p>
    <w:p w14:paraId="2E7B8477" w14:textId="7A0AC07E" w:rsidR="003A4FAD" w:rsidRPr="009B6A7B" w:rsidRDefault="003928D6" w:rsidP="009B6A7B">
      <w:pPr>
        <w:spacing w:line="276" w:lineRule="auto"/>
        <w:ind w:firstLineChars="200" w:firstLine="440"/>
        <w:rPr>
          <w:sz w:val="22"/>
        </w:rPr>
      </w:pPr>
      <w:r w:rsidRPr="009B6A7B">
        <w:rPr>
          <w:rFonts w:hint="eastAsia"/>
          <w:sz w:val="22"/>
        </w:rPr>
        <w:t>（3）</w:t>
      </w:r>
      <w:r w:rsidRPr="000E7588">
        <w:rPr>
          <w:rFonts w:hint="eastAsia"/>
          <w:b/>
          <w:bCs/>
          <w:color w:val="FF0000"/>
          <w:sz w:val="22"/>
        </w:rPr>
        <w:t>意义</w:t>
      </w:r>
      <w:r w:rsidRPr="009B6A7B">
        <w:rPr>
          <w:rFonts w:hint="eastAsia"/>
          <w:sz w:val="22"/>
        </w:rPr>
        <w:t>：汉初反思、总结历史经验教训的思潮中，“过秦”是一个重要题目。《过秦论》</w:t>
      </w:r>
      <w:r w:rsidRPr="009B6A7B">
        <w:rPr>
          <w:sz w:val="22"/>
        </w:rPr>
        <w:t>否定了</w:t>
      </w:r>
      <w:proofErr w:type="gramStart"/>
      <w:r w:rsidRPr="009B6A7B">
        <w:rPr>
          <w:sz w:val="22"/>
        </w:rPr>
        <w:t>秦朝以</w:t>
      </w:r>
      <w:proofErr w:type="gramEnd"/>
      <w:r w:rsidRPr="009B6A7B">
        <w:rPr>
          <w:sz w:val="22"/>
        </w:rPr>
        <w:t>霸道治国的做法，贯穿着鲜明的民本意识，旨在为汉王朝提供治国的借鉴，具有重要的现实意义</w:t>
      </w:r>
      <w:r w:rsidRPr="009B6A7B">
        <w:rPr>
          <w:rFonts w:hint="eastAsia"/>
          <w:sz w:val="22"/>
        </w:rPr>
        <w:t>，</w:t>
      </w:r>
      <w:r w:rsidRPr="000E7588">
        <w:rPr>
          <w:rFonts w:hint="eastAsia"/>
          <w:color w:val="FF0000"/>
          <w:sz w:val="22"/>
        </w:rPr>
        <w:t>开汉代“史论”文章之先声</w:t>
      </w:r>
      <w:r w:rsidRPr="009B6A7B">
        <w:rPr>
          <w:rFonts w:hint="eastAsia"/>
          <w:sz w:val="22"/>
        </w:rPr>
        <w:t>。</w:t>
      </w:r>
    </w:p>
    <w:p w14:paraId="16A5ED98" w14:textId="09878D26" w:rsidR="00144172" w:rsidRDefault="00144172" w:rsidP="00144172">
      <w:pPr>
        <w:pStyle w:val="a7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8"/>
        </w:rPr>
      </w:pPr>
      <w:proofErr w:type="gramStart"/>
      <w:r w:rsidRPr="00621EF9">
        <w:rPr>
          <w:rFonts w:ascii="黑体" w:eastAsia="黑体" w:hAnsi="黑体" w:hint="eastAsia"/>
          <w:sz w:val="24"/>
          <w:szCs w:val="28"/>
        </w:rPr>
        <w:t>晁</w:t>
      </w:r>
      <w:proofErr w:type="gramEnd"/>
      <w:r w:rsidRPr="00621EF9">
        <w:rPr>
          <w:rFonts w:ascii="黑体" w:eastAsia="黑体" w:hAnsi="黑体" w:hint="eastAsia"/>
          <w:sz w:val="24"/>
          <w:szCs w:val="28"/>
        </w:rPr>
        <w:t>错的散文</w:t>
      </w:r>
    </w:p>
    <w:p w14:paraId="793DF142" w14:textId="0B89B0A0" w:rsidR="003928D6" w:rsidRPr="009B6A7B" w:rsidRDefault="003928D6" w:rsidP="009B6A7B">
      <w:pPr>
        <w:spacing w:line="276" w:lineRule="auto"/>
        <w:ind w:firstLineChars="200" w:firstLine="440"/>
        <w:rPr>
          <w:sz w:val="22"/>
        </w:rPr>
      </w:pPr>
      <w:r w:rsidRPr="009B6A7B">
        <w:rPr>
          <w:rFonts w:hint="eastAsia"/>
          <w:sz w:val="22"/>
        </w:rPr>
        <w:t xml:space="preserve">（1） </w:t>
      </w:r>
      <w:proofErr w:type="gramStart"/>
      <w:r w:rsidRPr="000E7588">
        <w:rPr>
          <w:rFonts w:hint="eastAsia"/>
          <w:b/>
          <w:bCs/>
          <w:color w:val="0070C0"/>
          <w:sz w:val="22"/>
        </w:rPr>
        <w:t>晁</w:t>
      </w:r>
      <w:proofErr w:type="gramEnd"/>
      <w:r w:rsidRPr="000E7588">
        <w:rPr>
          <w:rFonts w:hint="eastAsia"/>
          <w:b/>
          <w:bCs/>
          <w:color w:val="0070C0"/>
          <w:sz w:val="22"/>
        </w:rPr>
        <w:t>错</w:t>
      </w:r>
      <w:r w:rsidRPr="009B6A7B">
        <w:rPr>
          <w:rFonts w:hint="eastAsia"/>
          <w:sz w:val="22"/>
        </w:rPr>
        <w:t>：颍川人。《汉书</w:t>
      </w:r>
      <w:r w:rsidRPr="009B6A7B">
        <w:rPr>
          <w:sz w:val="22"/>
        </w:rPr>
        <w:t>.艺文志》著录三十一篇，多已不存。代表作有《论削藩疏》《论贵粟疏》《守边劝农疏》《募民徙塞下疏》《贤良文学对策》等。</w:t>
      </w:r>
      <w:proofErr w:type="gramStart"/>
      <w:r w:rsidRPr="009B6A7B">
        <w:rPr>
          <w:rFonts w:hint="eastAsia"/>
          <w:sz w:val="22"/>
        </w:rPr>
        <w:t>晁</w:t>
      </w:r>
      <w:proofErr w:type="gramEnd"/>
      <w:r w:rsidRPr="009B6A7B">
        <w:rPr>
          <w:rFonts w:hint="eastAsia"/>
          <w:sz w:val="22"/>
        </w:rPr>
        <w:t>错的文章大都是针对重大政治问题而写的。</w:t>
      </w:r>
    </w:p>
    <w:p w14:paraId="13E2C26D" w14:textId="4F4B4549" w:rsidR="003928D6" w:rsidRPr="009B6A7B" w:rsidRDefault="003928D6" w:rsidP="009B6A7B">
      <w:pPr>
        <w:spacing w:line="276" w:lineRule="auto"/>
        <w:ind w:firstLineChars="200" w:firstLine="440"/>
        <w:rPr>
          <w:sz w:val="22"/>
        </w:rPr>
      </w:pPr>
      <w:r w:rsidRPr="009B6A7B">
        <w:rPr>
          <w:rFonts w:hint="eastAsia"/>
          <w:sz w:val="22"/>
        </w:rPr>
        <w:t>（2）</w:t>
      </w:r>
      <w:r w:rsidRPr="000E7588">
        <w:rPr>
          <w:rFonts w:hint="eastAsia"/>
          <w:b/>
          <w:bCs/>
          <w:sz w:val="22"/>
          <w:highlight w:val="cyan"/>
        </w:rPr>
        <w:t>《论贵粟疏》</w:t>
      </w:r>
      <w:r w:rsidRPr="009B6A7B">
        <w:rPr>
          <w:rFonts w:hint="eastAsia"/>
          <w:sz w:val="22"/>
        </w:rPr>
        <w:t>：对当时官家及商贺的巧取泵夺、奢侈淫靡予以批评，同时对广大农民的疾苦给子极大的关注与同情。</w:t>
      </w:r>
    </w:p>
    <w:p w14:paraId="08AB357A" w14:textId="4CE308FA" w:rsidR="009B6A7B" w:rsidRPr="009B6A7B" w:rsidRDefault="009B6A7B" w:rsidP="009B6A7B">
      <w:pPr>
        <w:spacing w:line="276" w:lineRule="auto"/>
        <w:ind w:firstLineChars="200" w:firstLine="440"/>
        <w:rPr>
          <w:sz w:val="22"/>
        </w:rPr>
      </w:pPr>
      <w:r w:rsidRPr="009B6A7B">
        <w:rPr>
          <w:rFonts w:hint="eastAsia"/>
          <w:sz w:val="22"/>
        </w:rPr>
        <w:t>（3）</w:t>
      </w:r>
      <w:proofErr w:type="gramStart"/>
      <w:r w:rsidR="003928D6" w:rsidRPr="000E7588">
        <w:rPr>
          <w:rFonts w:hint="eastAsia"/>
          <w:b/>
          <w:bCs/>
          <w:color w:val="C00000"/>
          <w:sz w:val="22"/>
        </w:rPr>
        <w:t>晁</w:t>
      </w:r>
      <w:proofErr w:type="gramEnd"/>
      <w:r w:rsidR="003928D6" w:rsidRPr="000E7588">
        <w:rPr>
          <w:rFonts w:hint="eastAsia"/>
          <w:b/>
          <w:bCs/>
          <w:color w:val="C00000"/>
          <w:sz w:val="22"/>
        </w:rPr>
        <w:t>错</w:t>
      </w:r>
      <w:r w:rsidRPr="000E7588">
        <w:rPr>
          <w:rFonts w:hint="eastAsia"/>
          <w:b/>
          <w:bCs/>
          <w:color w:val="C00000"/>
          <w:sz w:val="22"/>
        </w:rPr>
        <w:t>&amp;</w:t>
      </w:r>
      <w:r w:rsidR="003928D6" w:rsidRPr="000E7588">
        <w:rPr>
          <w:rFonts w:hint="eastAsia"/>
          <w:b/>
          <w:bCs/>
          <w:color w:val="C00000"/>
          <w:sz w:val="22"/>
        </w:rPr>
        <w:t>贾谊</w:t>
      </w:r>
      <w:r w:rsidRPr="000E7588">
        <w:rPr>
          <w:rFonts w:hint="eastAsia"/>
          <w:b/>
          <w:bCs/>
          <w:color w:val="C00000"/>
          <w:sz w:val="22"/>
        </w:rPr>
        <w:t>比较</w:t>
      </w:r>
      <w:r w:rsidRPr="009B6A7B">
        <w:rPr>
          <w:rFonts w:hint="eastAsia"/>
          <w:sz w:val="22"/>
        </w:rPr>
        <w:t>：</w:t>
      </w:r>
    </w:p>
    <w:p w14:paraId="7D498EFC" w14:textId="4D227C74" w:rsidR="003928D6" w:rsidRPr="009B6A7B" w:rsidRDefault="009B6A7B" w:rsidP="009B6A7B">
      <w:pPr>
        <w:spacing w:line="276" w:lineRule="auto"/>
        <w:ind w:firstLineChars="500" w:firstLine="1100"/>
        <w:rPr>
          <w:sz w:val="22"/>
        </w:rPr>
      </w:pPr>
      <w:r w:rsidRPr="009B6A7B">
        <w:rPr>
          <w:rFonts w:hint="eastAsia"/>
          <w:sz w:val="22"/>
        </w:rPr>
        <w:t>①</w:t>
      </w:r>
      <w:r w:rsidR="003928D6" w:rsidRPr="009B6A7B">
        <w:rPr>
          <w:rFonts w:hint="eastAsia"/>
          <w:sz w:val="22"/>
        </w:rPr>
        <w:t>都是汉初政论文大家，</w:t>
      </w:r>
      <w:r w:rsidR="003928D6" w:rsidRPr="000E7588">
        <w:rPr>
          <w:rFonts w:hint="eastAsia"/>
          <w:color w:val="C45911" w:themeColor="accent2" w:themeShade="BF"/>
          <w:sz w:val="22"/>
          <w:u w:val="single"/>
        </w:rPr>
        <w:t>贾谊受儒家思想的影响比较大，</w:t>
      </w:r>
      <w:proofErr w:type="gramStart"/>
      <w:r w:rsidR="003928D6" w:rsidRPr="000E7588">
        <w:rPr>
          <w:rFonts w:hint="eastAsia"/>
          <w:color w:val="C45911" w:themeColor="accent2" w:themeShade="BF"/>
          <w:sz w:val="22"/>
          <w:u w:val="single"/>
        </w:rPr>
        <w:t>晁</w:t>
      </w:r>
      <w:proofErr w:type="gramEnd"/>
      <w:r w:rsidR="003928D6" w:rsidRPr="000E7588">
        <w:rPr>
          <w:rFonts w:hint="eastAsia"/>
          <w:color w:val="C45911" w:themeColor="accent2" w:themeShade="BF"/>
          <w:sz w:val="22"/>
          <w:u w:val="single"/>
        </w:rPr>
        <w:t>错的思想则以法家为主</w:t>
      </w:r>
      <w:r w:rsidR="003928D6" w:rsidRPr="009B6A7B">
        <w:rPr>
          <w:rFonts w:hint="eastAsia"/>
          <w:sz w:val="22"/>
        </w:rPr>
        <w:t>，但二人都能针对时弊直言极</w:t>
      </w:r>
      <w:proofErr w:type="gramStart"/>
      <w:r w:rsidR="003928D6" w:rsidRPr="009B6A7B">
        <w:rPr>
          <w:rFonts w:hint="eastAsia"/>
          <w:sz w:val="22"/>
        </w:rPr>
        <w:t>谏</w:t>
      </w:r>
      <w:proofErr w:type="gramEnd"/>
      <w:r w:rsidR="003928D6" w:rsidRPr="009B6A7B">
        <w:rPr>
          <w:rFonts w:hint="eastAsia"/>
          <w:sz w:val="22"/>
        </w:rPr>
        <w:t>，无所避忌。</w:t>
      </w:r>
    </w:p>
    <w:p w14:paraId="09FF4D04" w14:textId="55BB0253" w:rsidR="003928D6" w:rsidRPr="009B6A7B" w:rsidRDefault="009B6A7B" w:rsidP="009B6A7B">
      <w:pPr>
        <w:spacing w:line="276" w:lineRule="auto"/>
        <w:ind w:firstLineChars="500" w:firstLine="1100"/>
        <w:rPr>
          <w:sz w:val="22"/>
        </w:rPr>
      </w:pPr>
      <w:r>
        <w:rPr>
          <w:rFonts w:hint="eastAsia"/>
          <w:sz w:val="22"/>
        </w:rPr>
        <w:t>②</w:t>
      </w:r>
      <w:proofErr w:type="gramStart"/>
      <w:r w:rsidR="003928D6" w:rsidRPr="009B6A7B">
        <w:rPr>
          <w:rFonts w:hint="eastAsia"/>
          <w:sz w:val="22"/>
        </w:rPr>
        <w:t>晁贾二</w:t>
      </w:r>
      <w:proofErr w:type="gramEnd"/>
      <w:r w:rsidR="003928D6" w:rsidRPr="009B6A7B">
        <w:rPr>
          <w:rFonts w:hint="eastAsia"/>
          <w:sz w:val="22"/>
        </w:rPr>
        <w:t>人性情有异，且贾谊早逝，</w:t>
      </w:r>
      <w:proofErr w:type="gramStart"/>
      <w:r w:rsidR="003928D6" w:rsidRPr="009B6A7B">
        <w:rPr>
          <w:rFonts w:hint="eastAsia"/>
          <w:sz w:val="22"/>
        </w:rPr>
        <w:t>晁</w:t>
      </w:r>
      <w:proofErr w:type="gramEnd"/>
      <w:r w:rsidR="003928D6" w:rsidRPr="009B6A7B">
        <w:rPr>
          <w:rFonts w:hint="eastAsia"/>
          <w:sz w:val="22"/>
        </w:rPr>
        <w:t>错享年较长、涉世较深，相比之下，</w:t>
      </w:r>
      <w:proofErr w:type="gramStart"/>
      <w:r w:rsidR="003928D6" w:rsidRPr="000E7588">
        <w:rPr>
          <w:rFonts w:hint="eastAsia"/>
          <w:color w:val="C45911" w:themeColor="accent2" w:themeShade="BF"/>
          <w:sz w:val="22"/>
          <w:u w:val="single"/>
        </w:rPr>
        <w:t>晁</w:t>
      </w:r>
      <w:proofErr w:type="gramEnd"/>
      <w:r w:rsidR="003928D6" w:rsidRPr="000E7588">
        <w:rPr>
          <w:rFonts w:hint="eastAsia"/>
          <w:color w:val="C45911" w:themeColor="accent2" w:themeShade="BF"/>
          <w:sz w:val="22"/>
          <w:u w:val="single"/>
        </w:rPr>
        <w:t>错的文章显得更为沉稳老到</w:t>
      </w:r>
      <w:r w:rsidR="003928D6" w:rsidRPr="009B6A7B">
        <w:rPr>
          <w:rFonts w:hint="eastAsia"/>
          <w:sz w:val="22"/>
        </w:rPr>
        <w:t>，议论问题更能具体深人，也更为切合实际。</w:t>
      </w:r>
    </w:p>
    <w:p w14:paraId="303EA985" w14:textId="73F9AA2E" w:rsidR="003928D6" w:rsidRPr="009B6A7B" w:rsidRDefault="009B6A7B" w:rsidP="009B6A7B">
      <w:pPr>
        <w:spacing w:line="276" w:lineRule="auto"/>
        <w:ind w:firstLineChars="500" w:firstLine="1100"/>
        <w:rPr>
          <w:sz w:val="22"/>
        </w:rPr>
      </w:pPr>
      <w:r>
        <w:rPr>
          <w:rFonts w:hint="eastAsia"/>
          <w:sz w:val="22"/>
        </w:rPr>
        <w:t>③</w:t>
      </w:r>
      <w:r w:rsidR="003928D6" w:rsidRPr="009B6A7B">
        <w:rPr>
          <w:rFonts w:hint="eastAsia"/>
          <w:sz w:val="22"/>
        </w:rPr>
        <w:t>从文章风格上看，</w:t>
      </w:r>
      <w:r w:rsidR="003928D6" w:rsidRPr="000E7588">
        <w:rPr>
          <w:rFonts w:hint="eastAsia"/>
          <w:color w:val="C45911" w:themeColor="accent2" w:themeShade="BF"/>
          <w:sz w:val="22"/>
          <w:u w:val="single"/>
        </w:rPr>
        <w:t>贾文气势雄健，铺张扬厉，</w:t>
      </w:r>
      <w:r w:rsidR="003928D6" w:rsidRPr="000E7588">
        <w:rPr>
          <w:color w:val="C45911" w:themeColor="accent2" w:themeShade="BF"/>
          <w:sz w:val="22"/>
          <w:u w:val="single"/>
        </w:rPr>
        <w:t xml:space="preserve"> 感情充沛，近于孟子；晁文更重理性分析，逻辑性强，论辩有力，略似荀韩</w:t>
      </w:r>
      <w:r w:rsidR="003928D6" w:rsidRPr="009B6A7B">
        <w:rPr>
          <w:sz w:val="22"/>
        </w:rPr>
        <w:t>。</w:t>
      </w:r>
    </w:p>
    <w:p w14:paraId="45118C66" w14:textId="4C028FAF" w:rsidR="00144172" w:rsidRDefault="00144172" w:rsidP="00144172">
      <w:pPr>
        <w:pStyle w:val="a7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8"/>
        </w:rPr>
      </w:pPr>
      <w:r w:rsidRPr="00621EF9">
        <w:rPr>
          <w:rFonts w:ascii="黑体" w:eastAsia="黑体" w:hAnsi="黑体" w:hint="eastAsia"/>
          <w:sz w:val="24"/>
          <w:szCs w:val="28"/>
        </w:rPr>
        <w:t>枚乘、邹阳的散文</w:t>
      </w:r>
    </w:p>
    <w:p w14:paraId="2DCAD517" w14:textId="1E314D62" w:rsidR="00B6154E" w:rsidRPr="00B6154E" w:rsidRDefault="00B6154E" w:rsidP="00B6154E">
      <w:pPr>
        <w:spacing w:line="276" w:lineRule="auto"/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1</w:t>
      </w:r>
      <w:r>
        <w:rPr>
          <w:sz w:val="22"/>
          <w:szCs w:val="24"/>
        </w:rPr>
        <w:t xml:space="preserve">. </w:t>
      </w:r>
      <w:r w:rsidRPr="000E7588">
        <w:rPr>
          <w:rFonts w:hint="eastAsia"/>
          <w:b/>
          <w:bCs/>
          <w:color w:val="0070C0"/>
          <w:sz w:val="22"/>
          <w:szCs w:val="24"/>
        </w:rPr>
        <w:t>枚乘</w:t>
      </w:r>
      <w:r w:rsidRPr="00B6154E">
        <w:rPr>
          <w:rFonts w:hint="eastAsia"/>
          <w:sz w:val="22"/>
          <w:szCs w:val="24"/>
        </w:rPr>
        <w:t>，字叔，淮阴</w:t>
      </w:r>
      <w:r w:rsidRPr="00B6154E">
        <w:rPr>
          <w:sz w:val="22"/>
          <w:szCs w:val="24"/>
        </w:rPr>
        <w:t>(今江苏淮阴)人。文章有《上书谏吴王》与《上书重谏吴王》。《隋书.经籍志》著录《枚乘集》二卷，已散佚;近人辑有《枚叔集》。</w:t>
      </w:r>
    </w:p>
    <w:p w14:paraId="194F18D9" w14:textId="60F30600" w:rsidR="00B6154E" w:rsidRPr="00B6154E" w:rsidRDefault="00B6154E" w:rsidP="00B6154E">
      <w:pPr>
        <w:spacing w:line="276" w:lineRule="auto"/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 xml:space="preserve">. </w:t>
      </w:r>
      <w:r w:rsidRPr="000E7588">
        <w:rPr>
          <w:rFonts w:hint="eastAsia"/>
          <w:b/>
          <w:bCs/>
          <w:color w:val="0070C0"/>
          <w:sz w:val="22"/>
          <w:szCs w:val="24"/>
        </w:rPr>
        <w:t>邹阳</w:t>
      </w:r>
      <w:r w:rsidRPr="00B6154E">
        <w:rPr>
          <w:rFonts w:hint="eastAsia"/>
          <w:sz w:val="22"/>
          <w:szCs w:val="24"/>
        </w:rPr>
        <w:t>，生卒年不详，齐人。《汉书艺文志》著录七篇，今存《上吴王书》《狱中上梁王书》。</w:t>
      </w:r>
      <w:r w:rsidRPr="000E7588">
        <w:rPr>
          <w:rFonts w:hint="eastAsia"/>
          <w:b/>
          <w:bCs/>
          <w:sz w:val="22"/>
          <w:szCs w:val="24"/>
          <w:highlight w:val="cyan"/>
        </w:rPr>
        <w:t>《狱中上梁王书》</w:t>
      </w:r>
      <w:r w:rsidRPr="00B6154E">
        <w:rPr>
          <w:rFonts w:hint="eastAsia"/>
          <w:sz w:val="22"/>
          <w:szCs w:val="24"/>
        </w:rPr>
        <w:t>以大量的历史典故，说明君主对待臣的忠信应持的态度以及</w:t>
      </w:r>
      <w:proofErr w:type="gramStart"/>
      <w:r w:rsidRPr="00B6154E">
        <w:rPr>
          <w:rFonts w:hint="eastAsia"/>
          <w:sz w:val="22"/>
          <w:szCs w:val="24"/>
        </w:rPr>
        <w:t>臣处于</w:t>
      </w:r>
      <w:proofErr w:type="gramEnd"/>
      <w:r w:rsidRPr="00B6154E">
        <w:rPr>
          <w:rFonts w:hint="eastAsia"/>
          <w:sz w:val="22"/>
          <w:szCs w:val="24"/>
        </w:rPr>
        <w:t>被疑的情势下如何自处，用以自脱。</w:t>
      </w:r>
    </w:p>
    <w:p w14:paraId="2BCBCF07" w14:textId="4B886F86" w:rsidR="00144172" w:rsidRPr="00621EF9" w:rsidRDefault="00144172" w:rsidP="00621EF9">
      <w:pPr>
        <w:ind w:left="-200"/>
        <w:rPr>
          <w:rFonts w:ascii="微软雅黑" w:eastAsia="微软雅黑" w:hAnsi="微软雅黑" w:cs="微软雅黑"/>
          <w:kern w:val="0"/>
          <w:sz w:val="24"/>
          <w:szCs w:val="24"/>
        </w:rPr>
      </w:pPr>
      <w:r w:rsidRPr="00621EF9">
        <w:rPr>
          <w:rFonts w:ascii="微软雅黑" w:eastAsia="微软雅黑" w:hAnsi="微软雅黑" w:cs="微软雅黑" w:hint="eastAsia"/>
          <w:kern w:val="0"/>
          <w:sz w:val="24"/>
          <w:szCs w:val="24"/>
        </w:rPr>
        <w:t>第三节、西汉中期的散文</w:t>
      </w:r>
    </w:p>
    <w:p w14:paraId="4C2B3AB3" w14:textId="45061818" w:rsidR="00144172" w:rsidRDefault="00144172" w:rsidP="00144172">
      <w:pPr>
        <w:pStyle w:val="a7"/>
        <w:numPr>
          <w:ilvl w:val="0"/>
          <w:numId w:val="5"/>
        </w:numPr>
        <w:ind w:firstLineChars="0"/>
        <w:rPr>
          <w:rFonts w:ascii="黑体" w:eastAsia="黑体" w:hAnsi="黑体"/>
          <w:sz w:val="24"/>
          <w:szCs w:val="28"/>
        </w:rPr>
      </w:pPr>
      <w:r w:rsidRPr="00621EF9">
        <w:rPr>
          <w:rFonts w:ascii="黑体" w:eastAsia="黑体" w:hAnsi="黑体" w:hint="eastAsia"/>
          <w:sz w:val="24"/>
          <w:szCs w:val="28"/>
        </w:rPr>
        <w:t>董仲舒的奏议文</w:t>
      </w:r>
    </w:p>
    <w:p w14:paraId="133F4623" w14:textId="77777777" w:rsidR="00CD51A1" w:rsidRPr="00CD51A1" w:rsidRDefault="00CD51A1" w:rsidP="00CD51A1">
      <w:pPr>
        <w:pStyle w:val="a7"/>
        <w:numPr>
          <w:ilvl w:val="0"/>
          <w:numId w:val="14"/>
        </w:numPr>
        <w:ind w:firstLineChars="0"/>
        <w:rPr>
          <w:sz w:val="22"/>
          <w:szCs w:val="24"/>
        </w:rPr>
      </w:pPr>
      <w:r w:rsidRPr="000E7588">
        <w:rPr>
          <w:rFonts w:hint="eastAsia"/>
          <w:b/>
          <w:bCs/>
          <w:color w:val="0070C0"/>
          <w:sz w:val="22"/>
          <w:szCs w:val="24"/>
        </w:rPr>
        <w:t>董仲舒</w:t>
      </w:r>
      <w:r w:rsidRPr="00CD51A1">
        <w:rPr>
          <w:sz w:val="22"/>
          <w:szCs w:val="24"/>
        </w:rPr>
        <w:t>(前179前104)，广用(今河北景县)人。著作现存《春秋繁露》，《汉书.董仲舒传》载有《天人三策》。</w:t>
      </w:r>
    </w:p>
    <w:p w14:paraId="2745D075" w14:textId="693AB4B0" w:rsidR="00CD51A1" w:rsidRPr="00CD51A1" w:rsidRDefault="00CD51A1" w:rsidP="00CD51A1">
      <w:pPr>
        <w:pStyle w:val="a7"/>
        <w:numPr>
          <w:ilvl w:val="0"/>
          <w:numId w:val="14"/>
        </w:numPr>
        <w:ind w:firstLineChars="0"/>
        <w:rPr>
          <w:rFonts w:hint="eastAsia"/>
          <w:sz w:val="22"/>
          <w:szCs w:val="24"/>
        </w:rPr>
      </w:pPr>
      <w:r w:rsidRPr="000E7588">
        <w:rPr>
          <w:rFonts w:hint="eastAsia"/>
          <w:b/>
          <w:bCs/>
          <w:sz w:val="22"/>
          <w:szCs w:val="24"/>
          <w:highlight w:val="cyan"/>
        </w:rPr>
        <w:t>《春秋繁露》</w:t>
      </w:r>
      <w:r w:rsidRPr="00CD51A1">
        <w:rPr>
          <w:rFonts w:hint="eastAsia"/>
          <w:sz w:val="22"/>
          <w:szCs w:val="24"/>
        </w:rPr>
        <w:t>立足于《春秋》公羊学，</w:t>
      </w:r>
      <w:r w:rsidRPr="000E7588">
        <w:rPr>
          <w:rFonts w:hint="eastAsia"/>
          <w:sz w:val="22"/>
          <w:szCs w:val="24"/>
          <w:u w:val="single"/>
        </w:rPr>
        <w:t>杂糅儒家思想、阴阳五行及天人感应之说，阐发大一统观念，宣扬“三纲五纪”。</w:t>
      </w:r>
      <w:r w:rsidRPr="00CD51A1">
        <w:rPr>
          <w:rFonts w:hint="eastAsia"/>
          <w:sz w:val="22"/>
          <w:szCs w:val="24"/>
        </w:rPr>
        <w:t>全书语言朴实平易，语调舒缓，又多引经据典，与汉初政论的铺排文风有明显的不同。</w:t>
      </w:r>
    </w:p>
    <w:p w14:paraId="15D72F48" w14:textId="4574CC0A" w:rsidR="00CD51A1" w:rsidRPr="00CD51A1" w:rsidRDefault="00CD51A1" w:rsidP="00CD51A1">
      <w:pPr>
        <w:pStyle w:val="a7"/>
        <w:numPr>
          <w:ilvl w:val="0"/>
          <w:numId w:val="14"/>
        </w:numPr>
        <w:ind w:firstLineChars="0"/>
        <w:rPr>
          <w:rFonts w:hint="eastAsia"/>
          <w:sz w:val="22"/>
          <w:szCs w:val="24"/>
        </w:rPr>
      </w:pPr>
      <w:proofErr w:type="gramStart"/>
      <w:r w:rsidRPr="000E7588">
        <w:rPr>
          <w:rFonts w:hint="eastAsia"/>
          <w:b/>
          <w:bCs/>
          <w:sz w:val="22"/>
          <w:szCs w:val="24"/>
          <w:highlight w:val="cyan"/>
        </w:rPr>
        <w:t>《天人三策》</w:t>
      </w:r>
      <w:r w:rsidRPr="00CD51A1">
        <w:rPr>
          <w:rFonts w:hint="eastAsia"/>
          <w:sz w:val="22"/>
          <w:szCs w:val="24"/>
        </w:rPr>
        <w:t>就武帝</w:t>
      </w:r>
      <w:proofErr w:type="gramEnd"/>
      <w:r w:rsidRPr="00CD51A1">
        <w:rPr>
          <w:rFonts w:hint="eastAsia"/>
          <w:sz w:val="22"/>
          <w:szCs w:val="24"/>
        </w:rPr>
        <w:t>之策问逐条对答，集中体现了董仲舒的哲学思想、政治理念及文章风貌。《天人三策》层次清晰，多引用经典阐明事理，</w:t>
      </w:r>
      <w:r w:rsidR="000E7588">
        <w:rPr>
          <w:rFonts w:hint="eastAsia"/>
          <w:sz w:val="22"/>
          <w:szCs w:val="24"/>
        </w:rPr>
        <w:t>富</w:t>
      </w:r>
      <w:r w:rsidRPr="00CD51A1">
        <w:rPr>
          <w:rFonts w:hint="eastAsia"/>
          <w:sz w:val="22"/>
          <w:szCs w:val="24"/>
        </w:rPr>
        <w:t>于理论色彩。</w:t>
      </w:r>
    </w:p>
    <w:p w14:paraId="0DBE8178" w14:textId="6B497F45" w:rsidR="00144172" w:rsidRDefault="00144172" w:rsidP="00144172">
      <w:pPr>
        <w:pStyle w:val="a7"/>
        <w:numPr>
          <w:ilvl w:val="0"/>
          <w:numId w:val="5"/>
        </w:numPr>
        <w:ind w:firstLineChars="0"/>
        <w:rPr>
          <w:rFonts w:ascii="黑体" w:eastAsia="黑体" w:hAnsi="黑体"/>
          <w:sz w:val="24"/>
          <w:szCs w:val="28"/>
        </w:rPr>
      </w:pPr>
      <w:r w:rsidRPr="00621EF9">
        <w:rPr>
          <w:rFonts w:ascii="黑体" w:eastAsia="黑体" w:hAnsi="黑体" w:hint="eastAsia"/>
          <w:sz w:val="24"/>
          <w:szCs w:val="28"/>
        </w:rPr>
        <w:t>刘安与《淮南子》</w:t>
      </w:r>
    </w:p>
    <w:p w14:paraId="79F65B07" w14:textId="00642091" w:rsidR="00CD51A1" w:rsidRPr="00CD51A1" w:rsidRDefault="00CD51A1" w:rsidP="00CD51A1">
      <w:pPr>
        <w:pStyle w:val="a7"/>
        <w:numPr>
          <w:ilvl w:val="0"/>
          <w:numId w:val="15"/>
        </w:numPr>
        <w:ind w:firstLineChars="0"/>
        <w:rPr>
          <w:rFonts w:hint="eastAsia"/>
          <w:sz w:val="22"/>
          <w:szCs w:val="24"/>
        </w:rPr>
      </w:pPr>
      <w:r w:rsidRPr="0030458E">
        <w:rPr>
          <w:rFonts w:hint="eastAsia"/>
          <w:b/>
          <w:bCs/>
          <w:color w:val="0070C0"/>
          <w:sz w:val="22"/>
          <w:szCs w:val="24"/>
        </w:rPr>
        <w:t>刘安</w:t>
      </w:r>
      <w:r w:rsidRPr="00CD51A1">
        <w:rPr>
          <w:sz w:val="22"/>
          <w:szCs w:val="24"/>
        </w:rPr>
        <w:t>(前179前122)， 淮南厉王刘长之子、刘邦之孙，文帝时袭父封为雅数千人，编撰《内书》二十一篇，(外书</w:t>
      </w:r>
      <w:proofErr w:type="gramStart"/>
      <w:r w:rsidRPr="00CD51A1">
        <w:rPr>
          <w:sz w:val="22"/>
          <w:szCs w:val="24"/>
        </w:rPr>
        <w:t>》</w:t>
      </w:r>
      <w:proofErr w:type="gramEnd"/>
      <w:r w:rsidRPr="00CD51A1">
        <w:rPr>
          <w:sz w:val="22"/>
          <w:szCs w:val="24"/>
        </w:rPr>
        <w:t xml:space="preserve"> 三十三篇。《内书》 即今存之《准南于》</w:t>
      </w:r>
    </w:p>
    <w:p w14:paraId="7DA46E20" w14:textId="44989C39" w:rsidR="00CD51A1" w:rsidRPr="00CD51A1" w:rsidRDefault="00CD51A1" w:rsidP="00CD51A1">
      <w:pPr>
        <w:pStyle w:val="a7"/>
        <w:numPr>
          <w:ilvl w:val="0"/>
          <w:numId w:val="15"/>
        </w:numPr>
        <w:ind w:firstLineChars="0"/>
        <w:rPr>
          <w:rFonts w:hint="eastAsia"/>
          <w:sz w:val="22"/>
          <w:szCs w:val="24"/>
        </w:rPr>
      </w:pPr>
      <w:r w:rsidRPr="00CD51A1">
        <w:rPr>
          <w:rFonts w:hint="eastAsia"/>
          <w:sz w:val="22"/>
          <w:szCs w:val="24"/>
        </w:rPr>
        <w:t>从文学风格上看，</w:t>
      </w:r>
      <w:r w:rsidRPr="0030458E">
        <w:rPr>
          <w:rFonts w:hint="eastAsia"/>
          <w:b/>
          <w:bCs/>
          <w:sz w:val="22"/>
          <w:szCs w:val="24"/>
          <w:highlight w:val="cyan"/>
        </w:rPr>
        <w:t>《淮南子》</w:t>
      </w:r>
      <w:r w:rsidRPr="00CD51A1">
        <w:rPr>
          <w:rFonts w:hint="eastAsia"/>
          <w:sz w:val="22"/>
          <w:szCs w:val="24"/>
        </w:rPr>
        <w:t>颇有庄</w:t>
      </w:r>
      <w:proofErr w:type="gramStart"/>
      <w:r w:rsidRPr="00CD51A1">
        <w:rPr>
          <w:rFonts w:hint="eastAsia"/>
          <w:sz w:val="22"/>
          <w:szCs w:val="24"/>
        </w:rPr>
        <w:t>骚</w:t>
      </w:r>
      <w:proofErr w:type="gramEnd"/>
      <w:r w:rsidRPr="00CD51A1">
        <w:rPr>
          <w:rFonts w:hint="eastAsia"/>
          <w:sz w:val="22"/>
          <w:szCs w:val="24"/>
        </w:rPr>
        <w:t>浪漫之</w:t>
      </w:r>
      <w:proofErr w:type="gramStart"/>
      <w:r w:rsidRPr="00CD51A1">
        <w:rPr>
          <w:rFonts w:hint="eastAsia"/>
          <w:sz w:val="22"/>
          <w:szCs w:val="24"/>
        </w:rPr>
        <w:t>馀</w:t>
      </w:r>
      <w:proofErr w:type="gramEnd"/>
      <w:r w:rsidRPr="00CD51A1">
        <w:rPr>
          <w:rFonts w:hint="eastAsia"/>
          <w:sz w:val="22"/>
          <w:szCs w:val="24"/>
        </w:rPr>
        <w:t>韵，战国策士之遗风，有些地方也带</w:t>
      </w:r>
      <w:r w:rsidRPr="00CD51A1">
        <w:rPr>
          <w:rFonts w:hint="eastAsia"/>
          <w:sz w:val="22"/>
          <w:szCs w:val="24"/>
        </w:rPr>
        <w:lastRenderedPageBreak/>
        <w:t>有辞赋色彩</w:t>
      </w:r>
      <w:r w:rsidRPr="00CD51A1">
        <w:rPr>
          <w:rFonts w:hint="eastAsia"/>
          <w:sz w:val="22"/>
          <w:szCs w:val="24"/>
        </w:rPr>
        <w:t>。</w:t>
      </w:r>
      <w:r w:rsidRPr="00CD51A1">
        <w:rPr>
          <w:rFonts w:hint="eastAsia"/>
          <w:sz w:val="22"/>
          <w:szCs w:val="24"/>
        </w:rPr>
        <w:t>《淮南子》中的神话传说</w:t>
      </w:r>
      <w:r w:rsidRPr="00CD51A1">
        <w:rPr>
          <w:rFonts w:hint="eastAsia"/>
          <w:sz w:val="22"/>
          <w:szCs w:val="24"/>
        </w:rPr>
        <w:t>也</w:t>
      </w:r>
      <w:r w:rsidRPr="00CD51A1">
        <w:rPr>
          <w:rFonts w:hint="eastAsia"/>
          <w:sz w:val="22"/>
          <w:szCs w:val="24"/>
        </w:rPr>
        <w:t>相当丰富</w:t>
      </w:r>
      <w:r w:rsidR="005B67DF">
        <w:rPr>
          <w:rFonts w:hint="eastAsia"/>
          <w:sz w:val="22"/>
          <w:szCs w:val="24"/>
        </w:rPr>
        <w:t>，善于运用寓言故事说理。</w:t>
      </w:r>
    </w:p>
    <w:p w14:paraId="56A9BE51" w14:textId="27B191E5" w:rsidR="00144172" w:rsidRDefault="00144172" w:rsidP="00144172">
      <w:pPr>
        <w:pStyle w:val="a7"/>
        <w:numPr>
          <w:ilvl w:val="0"/>
          <w:numId w:val="5"/>
        </w:numPr>
        <w:ind w:firstLineChars="0"/>
        <w:rPr>
          <w:rFonts w:ascii="黑体" w:eastAsia="黑体" w:hAnsi="黑体"/>
          <w:sz w:val="24"/>
          <w:szCs w:val="28"/>
        </w:rPr>
      </w:pPr>
      <w:r w:rsidRPr="0030458E">
        <w:rPr>
          <w:rFonts w:ascii="黑体" w:eastAsia="黑体" w:hAnsi="黑体" w:hint="eastAsia"/>
          <w:b/>
          <w:bCs/>
          <w:sz w:val="24"/>
          <w:szCs w:val="28"/>
          <w:highlight w:val="cyan"/>
        </w:rPr>
        <w:t>《盐铁论》</w:t>
      </w:r>
      <w:r w:rsidRPr="00621EF9">
        <w:rPr>
          <w:rFonts w:ascii="黑体" w:eastAsia="黑体" w:hAnsi="黑体" w:hint="eastAsia"/>
          <w:sz w:val="24"/>
          <w:szCs w:val="28"/>
        </w:rPr>
        <w:t>的文学色彩</w:t>
      </w:r>
    </w:p>
    <w:p w14:paraId="3A2B26A0" w14:textId="77777777" w:rsidR="005B67DF" w:rsidRDefault="005B67DF" w:rsidP="00CD51A1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《盐铁论》一书，凡十卷，六十篇。</w:t>
      </w:r>
    </w:p>
    <w:p w14:paraId="6236D854" w14:textId="6AEDA6F6" w:rsidR="00CD51A1" w:rsidRPr="00CD51A1" w:rsidRDefault="00CD51A1" w:rsidP="00CD51A1">
      <w:pPr>
        <w:ind w:firstLineChars="200" w:firstLine="440"/>
        <w:rPr>
          <w:rFonts w:hint="eastAsia"/>
          <w:sz w:val="22"/>
          <w:szCs w:val="24"/>
        </w:rPr>
      </w:pPr>
      <w:r w:rsidRPr="00CD51A1">
        <w:rPr>
          <w:rFonts w:hint="eastAsia"/>
          <w:sz w:val="22"/>
          <w:szCs w:val="24"/>
        </w:rPr>
        <w:t>《盐铁论》发展了诸子散文及汉赋中的对话文体，生动地刻画出论辩者各自不同的情态，在语言上明显吸取了汉赋手法。</w:t>
      </w:r>
    </w:p>
    <w:p w14:paraId="312B42AD" w14:textId="16BEB8BE" w:rsidR="00144172" w:rsidRPr="00621EF9" w:rsidRDefault="00144172" w:rsidP="00621EF9">
      <w:pPr>
        <w:ind w:left="-200"/>
        <w:rPr>
          <w:rFonts w:ascii="微软雅黑" w:eastAsia="微软雅黑" w:hAnsi="微软雅黑" w:cs="微软雅黑"/>
          <w:kern w:val="0"/>
          <w:sz w:val="24"/>
          <w:szCs w:val="24"/>
        </w:rPr>
      </w:pPr>
      <w:r w:rsidRPr="00621EF9">
        <w:rPr>
          <w:rFonts w:ascii="微软雅黑" w:eastAsia="微软雅黑" w:hAnsi="微软雅黑" w:cs="微软雅黑" w:hint="eastAsia"/>
          <w:kern w:val="0"/>
          <w:sz w:val="24"/>
          <w:szCs w:val="24"/>
        </w:rPr>
        <w:t>第四节、西汉后期的散文</w:t>
      </w:r>
    </w:p>
    <w:p w14:paraId="2DC2197B" w14:textId="4ABB6FDF" w:rsidR="00144172" w:rsidRDefault="00621EF9" w:rsidP="00621EF9">
      <w:pPr>
        <w:pStyle w:val="a7"/>
        <w:numPr>
          <w:ilvl w:val="0"/>
          <w:numId w:val="6"/>
        </w:numPr>
        <w:ind w:firstLineChars="0"/>
        <w:rPr>
          <w:rFonts w:ascii="黑体" w:eastAsia="黑体" w:hAnsi="黑体"/>
          <w:sz w:val="24"/>
          <w:szCs w:val="28"/>
        </w:rPr>
      </w:pPr>
      <w:r w:rsidRPr="00621EF9">
        <w:rPr>
          <w:rFonts w:ascii="黑体" w:eastAsia="黑体" w:hAnsi="黑体" w:hint="eastAsia"/>
          <w:sz w:val="24"/>
          <w:szCs w:val="28"/>
        </w:rPr>
        <w:t>刘向的</w:t>
      </w:r>
      <w:proofErr w:type="gramStart"/>
      <w:r w:rsidRPr="00621EF9">
        <w:rPr>
          <w:rFonts w:ascii="黑体" w:eastAsia="黑体" w:hAnsi="黑体" w:hint="eastAsia"/>
          <w:sz w:val="24"/>
          <w:szCs w:val="28"/>
        </w:rPr>
        <w:t>奏议文</w:t>
      </w:r>
      <w:proofErr w:type="gramEnd"/>
      <w:r w:rsidRPr="00621EF9">
        <w:rPr>
          <w:rFonts w:ascii="黑体" w:eastAsia="黑体" w:hAnsi="黑体" w:hint="eastAsia"/>
          <w:sz w:val="24"/>
          <w:szCs w:val="28"/>
        </w:rPr>
        <w:t>及《新序》《说苑》等</w:t>
      </w:r>
    </w:p>
    <w:p w14:paraId="13BF91C9" w14:textId="76D21AB6" w:rsidR="00CD51A1" w:rsidRPr="005B67DF" w:rsidRDefault="00CD51A1" w:rsidP="005B67DF">
      <w:pPr>
        <w:pStyle w:val="a7"/>
        <w:numPr>
          <w:ilvl w:val="0"/>
          <w:numId w:val="16"/>
        </w:numPr>
        <w:ind w:firstLineChars="0"/>
        <w:rPr>
          <w:sz w:val="22"/>
          <w:szCs w:val="24"/>
        </w:rPr>
      </w:pPr>
      <w:r w:rsidRPr="005B67DF">
        <w:rPr>
          <w:rFonts w:hint="eastAsia"/>
          <w:sz w:val="22"/>
          <w:szCs w:val="24"/>
        </w:rPr>
        <w:t>刘向</w:t>
      </w:r>
      <w:r w:rsidRPr="005B67DF">
        <w:rPr>
          <w:sz w:val="22"/>
          <w:szCs w:val="24"/>
        </w:rPr>
        <w:t>，本名刘更生，字子政，著有《别永</w:t>
      </w:r>
      <w:r w:rsidR="005B67DF">
        <w:rPr>
          <w:rFonts w:hint="eastAsia"/>
          <w:sz w:val="22"/>
          <w:szCs w:val="24"/>
        </w:rPr>
        <w:t>》</w:t>
      </w:r>
      <w:r w:rsidRPr="005B67DF">
        <w:rPr>
          <w:sz w:val="22"/>
          <w:szCs w:val="24"/>
        </w:rPr>
        <w:t>《新序》《说苑》《列女传》《洪范五行传论》等。</w:t>
      </w:r>
    </w:p>
    <w:p w14:paraId="17FE2307" w14:textId="4D9572C5" w:rsidR="005B67DF" w:rsidRPr="005B67DF" w:rsidRDefault="005B67DF" w:rsidP="005B67DF">
      <w:pPr>
        <w:pStyle w:val="a7"/>
        <w:numPr>
          <w:ilvl w:val="0"/>
          <w:numId w:val="16"/>
        </w:numPr>
        <w:ind w:firstLineChars="0"/>
        <w:rPr>
          <w:rFonts w:hint="eastAsia"/>
          <w:sz w:val="22"/>
          <w:szCs w:val="24"/>
        </w:rPr>
      </w:pPr>
      <w:r w:rsidRPr="005B67DF">
        <w:rPr>
          <w:rFonts w:hint="eastAsia"/>
          <w:sz w:val="22"/>
          <w:szCs w:val="24"/>
        </w:rPr>
        <w:t>《谏营昌陵疏》辞气诚恳，人</w:t>
      </w:r>
      <w:proofErr w:type="gramStart"/>
      <w:r w:rsidRPr="005B67DF">
        <w:rPr>
          <w:rFonts w:hint="eastAsia"/>
          <w:sz w:val="22"/>
          <w:szCs w:val="24"/>
        </w:rPr>
        <w:t>理切情</w:t>
      </w:r>
      <w:proofErr w:type="gramEnd"/>
      <w:r w:rsidRPr="005B67DF">
        <w:rPr>
          <w:rFonts w:hint="eastAsia"/>
          <w:sz w:val="22"/>
          <w:szCs w:val="24"/>
        </w:rPr>
        <w:t>，是西汉后期奏议文中的名作。</w:t>
      </w:r>
    </w:p>
    <w:p w14:paraId="1084A31B" w14:textId="24F7B2DC" w:rsidR="005B67DF" w:rsidRPr="005B67DF" w:rsidRDefault="005B67DF" w:rsidP="005B67DF">
      <w:pPr>
        <w:pStyle w:val="a7"/>
        <w:numPr>
          <w:ilvl w:val="0"/>
          <w:numId w:val="16"/>
        </w:numPr>
        <w:ind w:firstLineChars="0"/>
        <w:rPr>
          <w:rFonts w:hint="eastAsia"/>
          <w:sz w:val="22"/>
          <w:szCs w:val="24"/>
        </w:rPr>
      </w:pPr>
      <w:r w:rsidRPr="005B67DF">
        <w:rPr>
          <w:rFonts w:hint="eastAsia"/>
          <w:sz w:val="22"/>
          <w:szCs w:val="24"/>
        </w:rPr>
        <w:t>刘向的《新序》《说苑》旨在彰显儒家的政治理想以致君尧舜，是其说理散文的代表作。</w:t>
      </w:r>
    </w:p>
    <w:p w14:paraId="5ED4F232" w14:textId="7188B795" w:rsidR="00CD51A1" w:rsidRPr="005B67DF" w:rsidRDefault="005B67DF" w:rsidP="005B67DF">
      <w:pPr>
        <w:pStyle w:val="a7"/>
        <w:numPr>
          <w:ilvl w:val="0"/>
          <w:numId w:val="16"/>
        </w:numPr>
        <w:ind w:firstLineChars="0"/>
        <w:rPr>
          <w:rFonts w:hint="eastAsia"/>
          <w:sz w:val="22"/>
          <w:szCs w:val="24"/>
        </w:rPr>
      </w:pPr>
      <w:r w:rsidRPr="005B67DF">
        <w:rPr>
          <w:rFonts w:hint="eastAsia"/>
          <w:sz w:val="22"/>
          <w:szCs w:val="24"/>
        </w:rPr>
        <w:t>刘向编撰的《列女传》，汇集贤妃</w:t>
      </w:r>
      <w:proofErr w:type="gramStart"/>
      <w:r w:rsidRPr="005B67DF">
        <w:rPr>
          <w:rFonts w:hint="eastAsia"/>
          <w:sz w:val="22"/>
          <w:szCs w:val="24"/>
        </w:rPr>
        <w:t>贞妇兴国显家</w:t>
      </w:r>
      <w:proofErr w:type="gramEnd"/>
      <w:r w:rsidRPr="005B67DF">
        <w:rPr>
          <w:rFonts w:hint="eastAsia"/>
          <w:sz w:val="22"/>
          <w:szCs w:val="24"/>
        </w:rPr>
        <w:t>可法则者，作为正面范例</w:t>
      </w:r>
      <w:r w:rsidRPr="005B67DF">
        <w:rPr>
          <w:sz w:val="22"/>
          <w:szCs w:val="24"/>
        </w:rPr>
        <w:t>: 又</w:t>
      </w:r>
      <w:proofErr w:type="gramStart"/>
      <w:r w:rsidRPr="005B67DF">
        <w:rPr>
          <w:sz w:val="22"/>
          <w:szCs w:val="24"/>
        </w:rPr>
        <w:t>录孽要</w:t>
      </w:r>
      <w:proofErr w:type="gramEnd"/>
      <w:r w:rsidRPr="005B67DF">
        <w:rPr>
          <w:sz w:val="22"/>
          <w:szCs w:val="24"/>
        </w:rPr>
        <w:t>乱亡者，作为反面鉴戒。</w:t>
      </w:r>
    </w:p>
    <w:p w14:paraId="4B86F3C4" w14:textId="16915F34" w:rsidR="00621EF9" w:rsidRDefault="00621EF9" w:rsidP="00621EF9">
      <w:pPr>
        <w:pStyle w:val="a7"/>
        <w:numPr>
          <w:ilvl w:val="0"/>
          <w:numId w:val="6"/>
        </w:numPr>
        <w:ind w:firstLineChars="0"/>
        <w:rPr>
          <w:rFonts w:ascii="黑体" w:eastAsia="黑体" w:hAnsi="黑体"/>
          <w:sz w:val="24"/>
          <w:szCs w:val="28"/>
        </w:rPr>
      </w:pPr>
      <w:r w:rsidRPr="00621EF9">
        <w:rPr>
          <w:rFonts w:ascii="黑体" w:eastAsia="黑体" w:hAnsi="黑体" w:hint="eastAsia"/>
          <w:sz w:val="24"/>
          <w:szCs w:val="28"/>
        </w:rPr>
        <w:t>杨</w:t>
      </w:r>
      <w:proofErr w:type="gramStart"/>
      <w:r w:rsidRPr="00621EF9">
        <w:rPr>
          <w:rFonts w:ascii="黑体" w:eastAsia="黑体" w:hAnsi="黑体" w:hint="eastAsia"/>
          <w:sz w:val="24"/>
          <w:szCs w:val="28"/>
        </w:rPr>
        <w:t>恽</w:t>
      </w:r>
      <w:proofErr w:type="gramEnd"/>
      <w:r w:rsidRPr="00621EF9">
        <w:rPr>
          <w:rFonts w:ascii="黑体" w:eastAsia="黑体" w:hAnsi="黑体" w:hint="eastAsia"/>
          <w:sz w:val="24"/>
          <w:szCs w:val="28"/>
        </w:rPr>
        <w:t>的《报孙会宗书》</w:t>
      </w:r>
    </w:p>
    <w:p w14:paraId="61FE18F8" w14:textId="37744417" w:rsidR="005B67DF" w:rsidRPr="005B67DF" w:rsidRDefault="005B67DF" w:rsidP="005B67DF">
      <w:pPr>
        <w:pStyle w:val="a7"/>
        <w:numPr>
          <w:ilvl w:val="0"/>
          <w:numId w:val="17"/>
        </w:numPr>
        <w:ind w:firstLineChars="0"/>
        <w:rPr>
          <w:sz w:val="22"/>
          <w:szCs w:val="24"/>
        </w:rPr>
      </w:pPr>
      <w:r w:rsidRPr="005B67DF">
        <w:rPr>
          <w:rFonts w:hint="eastAsia"/>
          <w:sz w:val="22"/>
          <w:szCs w:val="24"/>
        </w:rPr>
        <w:t>杨</w:t>
      </w:r>
      <w:proofErr w:type="gramStart"/>
      <w:r w:rsidRPr="005B67DF">
        <w:rPr>
          <w:rFonts w:hint="eastAsia"/>
          <w:sz w:val="22"/>
          <w:szCs w:val="24"/>
        </w:rPr>
        <w:t>恽</w:t>
      </w:r>
      <w:proofErr w:type="gramEnd"/>
      <w:r w:rsidRPr="005B67DF">
        <w:rPr>
          <w:rFonts w:hint="eastAsia"/>
          <w:sz w:val="22"/>
          <w:szCs w:val="24"/>
        </w:rPr>
        <w:t>，字子幼，弘农华阴人。</w:t>
      </w:r>
    </w:p>
    <w:p w14:paraId="0264EB38" w14:textId="3FA4B021" w:rsidR="005B67DF" w:rsidRPr="005B67DF" w:rsidRDefault="005B67DF" w:rsidP="005B67DF">
      <w:pPr>
        <w:pStyle w:val="a7"/>
        <w:numPr>
          <w:ilvl w:val="0"/>
          <w:numId w:val="17"/>
        </w:numPr>
        <w:ind w:firstLineChars="0"/>
        <w:rPr>
          <w:rFonts w:hint="eastAsia"/>
          <w:sz w:val="22"/>
          <w:szCs w:val="24"/>
        </w:rPr>
      </w:pPr>
      <w:r w:rsidRPr="005B67DF">
        <w:rPr>
          <w:rFonts w:hint="eastAsia"/>
          <w:sz w:val="22"/>
          <w:szCs w:val="24"/>
        </w:rPr>
        <w:t>在《报孙会宗书》中，杨</w:t>
      </w:r>
      <w:proofErr w:type="gramStart"/>
      <w:r w:rsidRPr="005B67DF">
        <w:rPr>
          <w:rFonts w:hint="eastAsia"/>
          <w:sz w:val="22"/>
          <w:szCs w:val="24"/>
        </w:rPr>
        <w:t>恽</w:t>
      </w:r>
      <w:proofErr w:type="gramEnd"/>
      <w:r w:rsidRPr="005B67DF">
        <w:rPr>
          <w:rFonts w:hint="eastAsia"/>
          <w:sz w:val="22"/>
          <w:szCs w:val="24"/>
        </w:rPr>
        <w:t>就</w:t>
      </w:r>
      <w:proofErr w:type="gramStart"/>
      <w:r w:rsidRPr="005B67DF">
        <w:rPr>
          <w:rFonts w:hint="eastAsia"/>
          <w:sz w:val="22"/>
          <w:szCs w:val="24"/>
        </w:rPr>
        <w:t>孙会崇用</w:t>
      </w:r>
      <w:proofErr w:type="gramEnd"/>
      <w:r w:rsidRPr="005B67DF">
        <w:rPr>
          <w:rFonts w:hint="eastAsia"/>
          <w:sz w:val="22"/>
          <w:szCs w:val="24"/>
        </w:rPr>
        <w:t>卿大夫的规矩来责备自己予以反驳。这里显示的作者自我，没有丝毫的</w:t>
      </w:r>
      <w:proofErr w:type="gramStart"/>
      <w:r w:rsidRPr="005B67DF">
        <w:rPr>
          <w:rFonts w:hint="eastAsia"/>
          <w:sz w:val="22"/>
          <w:szCs w:val="24"/>
        </w:rPr>
        <w:t>自悲</w:t>
      </w:r>
      <w:proofErr w:type="gramEnd"/>
      <w:r w:rsidRPr="005B67DF">
        <w:rPr>
          <w:rFonts w:hint="eastAsia"/>
          <w:sz w:val="22"/>
          <w:szCs w:val="24"/>
        </w:rPr>
        <w:t>自</w:t>
      </w:r>
      <w:proofErr w:type="gramStart"/>
      <w:r w:rsidRPr="005B67DF">
        <w:rPr>
          <w:rFonts w:hint="eastAsia"/>
          <w:sz w:val="22"/>
          <w:szCs w:val="24"/>
        </w:rPr>
        <w:t>怜</w:t>
      </w:r>
      <w:proofErr w:type="gramEnd"/>
      <w:r w:rsidRPr="005B67DF">
        <w:rPr>
          <w:rFonts w:hint="eastAsia"/>
          <w:sz w:val="22"/>
          <w:szCs w:val="24"/>
        </w:rPr>
        <w:t>，反而自得其乐，甚至是狂放纵恣。言辞中暗含对惩罚者的轻蔑，更表现出不与朝廷合作的决绝态度。</w:t>
      </w:r>
    </w:p>
    <w:p w14:paraId="7708CBFA" w14:textId="2C05C352" w:rsidR="00621EF9" w:rsidRDefault="00621EF9" w:rsidP="00621EF9">
      <w:pPr>
        <w:pStyle w:val="a7"/>
        <w:numPr>
          <w:ilvl w:val="0"/>
          <w:numId w:val="6"/>
        </w:numPr>
        <w:ind w:firstLineChars="0"/>
        <w:rPr>
          <w:rFonts w:ascii="黑体" w:eastAsia="黑体" w:hAnsi="黑体"/>
          <w:sz w:val="24"/>
          <w:szCs w:val="28"/>
        </w:rPr>
      </w:pPr>
      <w:r w:rsidRPr="00621EF9">
        <w:rPr>
          <w:rFonts w:ascii="黑体" w:eastAsia="黑体" w:hAnsi="黑体" w:hint="eastAsia"/>
          <w:sz w:val="24"/>
          <w:szCs w:val="28"/>
        </w:rPr>
        <w:t>杨雄的《法言》《剧秦美新》</w:t>
      </w:r>
    </w:p>
    <w:p w14:paraId="70F06EA3" w14:textId="77777777" w:rsidR="005B67DF" w:rsidRPr="005B67DF" w:rsidRDefault="005B67DF" w:rsidP="005B67DF">
      <w:pPr>
        <w:pStyle w:val="a7"/>
        <w:numPr>
          <w:ilvl w:val="0"/>
          <w:numId w:val="18"/>
        </w:numPr>
        <w:ind w:firstLineChars="0"/>
        <w:rPr>
          <w:sz w:val="22"/>
          <w:szCs w:val="24"/>
        </w:rPr>
      </w:pPr>
      <w:r w:rsidRPr="005B67DF">
        <w:rPr>
          <w:rFonts w:hint="eastAsia"/>
          <w:sz w:val="22"/>
          <w:szCs w:val="24"/>
        </w:rPr>
        <w:t>扬雄，</w:t>
      </w:r>
      <w:proofErr w:type="gramStart"/>
      <w:r w:rsidRPr="005B67DF">
        <w:rPr>
          <w:rFonts w:hint="eastAsia"/>
          <w:sz w:val="22"/>
          <w:szCs w:val="24"/>
        </w:rPr>
        <w:t>一</w:t>
      </w:r>
      <w:proofErr w:type="gramEnd"/>
      <w:r w:rsidRPr="005B67DF">
        <w:rPr>
          <w:rFonts w:hint="eastAsia"/>
          <w:sz w:val="22"/>
          <w:szCs w:val="24"/>
        </w:rPr>
        <w:t>作杨雄，字子云，蜀郡成都人。</w:t>
      </w:r>
    </w:p>
    <w:p w14:paraId="72BF5F2B" w14:textId="14396D7E" w:rsidR="005B67DF" w:rsidRPr="005B67DF" w:rsidRDefault="005B67DF" w:rsidP="005B67DF">
      <w:pPr>
        <w:pStyle w:val="a7"/>
        <w:numPr>
          <w:ilvl w:val="0"/>
          <w:numId w:val="18"/>
        </w:numPr>
        <w:ind w:firstLineChars="0"/>
        <w:rPr>
          <w:rFonts w:hint="eastAsia"/>
          <w:sz w:val="22"/>
          <w:szCs w:val="24"/>
        </w:rPr>
      </w:pPr>
      <w:r w:rsidRPr="005B67DF">
        <w:rPr>
          <w:rFonts w:hint="eastAsia"/>
          <w:sz w:val="22"/>
          <w:szCs w:val="24"/>
        </w:rPr>
        <w:t>《法言》包括《学行》</w:t>
      </w:r>
      <w:r w:rsidRPr="005B67DF">
        <w:rPr>
          <w:sz w:val="22"/>
          <w:szCs w:val="24"/>
        </w:rPr>
        <w:t xml:space="preserve"> 《吾子》《修身》等十三篇。“法言”的“法”指以五经或孔子之言为尺度的治学、处世的法则。对汉代今文经学宣扬的天人感应说于以批评，力主回到先秦原始儒家的基本观念上，是《法言》的重要内容之一。书中还对不少历史人物加以品评，</w:t>
      </w:r>
      <w:proofErr w:type="gramStart"/>
      <w:r w:rsidRPr="005B67DF">
        <w:rPr>
          <w:sz w:val="22"/>
          <w:szCs w:val="24"/>
        </w:rPr>
        <w:t>开魏晋</w:t>
      </w:r>
      <w:proofErr w:type="gramEnd"/>
      <w:r w:rsidRPr="005B67DF">
        <w:rPr>
          <w:sz w:val="22"/>
          <w:szCs w:val="24"/>
        </w:rPr>
        <w:t>时期人物品藻之先声。</w:t>
      </w:r>
    </w:p>
    <w:p w14:paraId="7422F8C1" w14:textId="32B2E64A" w:rsidR="005B67DF" w:rsidRPr="005B67DF" w:rsidRDefault="005B67DF" w:rsidP="005B67DF">
      <w:pPr>
        <w:pStyle w:val="a7"/>
        <w:numPr>
          <w:ilvl w:val="0"/>
          <w:numId w:val="18"/>
        </w:numPr>
        <w:ind w:firstLineChars="0"/>
        <w:rPr>
          <w:rFonts w:hint="eastAsia"/>
          <w:sz w:val="22"/>
          <w:szCs w:val="24"/>
        </w:rPr>
      </w:pPr>
      <w:r w:rsidRPr="005B67DF">
        <w:rPr>
          <w:rFonts w:hint="eastAsia"/>
          <w:sz w:val="22"/>
          <w:szCs w:val="24"/>
        </w:rPr>
        <w:t>《剧秦美新》之作，扬雄自谓意在劝王莽行巡狩封禅之事，将秦政之酷虐与新政之仁惠加以对比，虽有所夸饰而不失真。从文体上看，此文以论说为主。与贾谊“论而似赋”的政论文颇有相似之处里，只是文字更为典重、</w:t>
      </w:r>
      <w:r w:rsidRPr="005B67DF">
        <w:rPr>
          <w:sz w:val="22"/>
          <w:szCs w:val="24"/>
        </w:rPr>
        <w:t xml:space="preserve"> 受赋的影响更大一些罢了。</w:t>
      </w:r>
    </w:p>
    <w:sectPr w:rsidR="005B67DF" w:rsidRPr="005B67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837C1"/>
    <w:multiLevelType w:val="hybridMultilevel"/>
    <w:tmpl w:val="D86C27A4"/>
    <w:lvl w:ilvl="0" w:tplc="96FE03C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472ECC"/>
    <w:multiLevelType w:val="hybridMultilevel"/>
    <w:tmpl w:val="89C23FCE"/>
    <w:lvl w:ilvl="0" w:tplc="38A0C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A23EB5"/>
    <w:multiLevelType w:val="hybridMultilevel"/>
    <w:tmpl w:val="E15C47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E61F55"/>
    <w:multiLevelType w:val="hybridMultilevel"/>
    <w:tmpl w:val="9500AE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490D37"/>
    <w:multiLevelType w:val="hybridMultilevel"/>
    <w:tmpl w:val="0340E5E6"/>
    <w:lvl w:ilvl="0" w:tplc="D0F016C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3F37AF"/>
    <w:multiLevelType w:val="hybridMultilevel"/>
    <w:tmpl w:val="EADED874"/>
    <w:lvl w:ilvl="0" w:tplc="A3D818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A934953"/>
    <w:multiLevelType w:val="hybridMultilevel"/>
    <w:tmpl w:val="7EF64B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31966E7"/>
    <w:multiLevelType w:val="hybridMultilevel"/>
    <w:tmpl w:val="160AFE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7523B9"/>
    <w:multiLevelType w:val="hybridMultilevel"/>
    <w:tmpl w:val="5FDC02C6"/>
    <w:lvl w:ilvl="0" w:tplc="04090011">
      <w:start w:val="1"/>
      <w:numFmt w:val="decimal"/>
      <w:lvlText w:val="%1)"/>
      <w:lvlJc w:val="left"/>
      <w:pPr>
        <w:ind w:left="1440" w:hanging="420"/>
      </w:pPr>
    </w:lvl>
    <w:lvl w:ilvl="1" w:tplc="04090019" w:tentative="1">
      <w:start w:val="1"/>
      <w:numFmt w:val="lowerLetter"/>
      <w:lvlText w:val="%2)"/>
      <w:lvlJc w:val="left"/>
      <w:pPr>
        <w:ind w:left="1860" w:hanging="420"/>
      </w:pPr>
    </w:lvl>
    <w:lvl w:ilvl="2" w:tplc="0409001B" w:tentative="1">
      <w:start w:val="1"/>
      <w:numFmt w:val="lowerRoman"/>
      <w:lvlText w:val="%3."/>
      <w:lvlJc w:val="right"/>
      <w:pPr>
        <w:ind w:left="2280" w:hanging="420"/>
      </w:pPr>
    </w:lvl>
    <w:lvl w:ilvl="3" w:tplc="0409000F" w:tentative="1">
      <w:start w:val="1"/>
      <w:numFmt w:val="decimal"/>
      <w:lvlText w:val="%4."/>
      <w:lvlJc w:val="left"/>
      <w:pPr>
        <w:ind w:left="2700" w:hanging="420"/>
      </w:pPr>
    </w:lvl>
    <w:lvl w:ilvl="4" w:tplc="04090019" w:tentative="1">
      <w:start w:val="1"/>
      <w:numFmt w:val="lowerLetter"/>
      <w:lvlText w:val="%5)"/>
      <w:lvlJc w:val="left"/>
      <w:pPr>
        <w:ind w:left="3120" w:hanging="420"/>
      </w:pPr>
    </w:lvl>
    <w:lvl w:ilvl="5" w:tplc="0409001B" w:tentative="1">
      <w:start w:val="1"/>
      <w:numFmt w:val="lowerRoman"/>
      <w:lvlText w:val="%6."/>
      <w:lvlJc w:val="right"/>
      <w:pPr>
        <w:ind w:left="3540" w:hanging="420"/>
      </w:pPr>
    </w:lvl>
    <w:lvl w:ilvl="6" w:tplc="0409000F" w:tentative="1">
      <w:start w:val="1"/>
      <w:numFmt w:val="decimal"/>
      <w:lvlText w:val="%7."/>
      <w:lvlJc w:val="left"/>
      <w:pPr>
        <w:ind w:left="3960" w:hanging="420"/>
      </w:pPr>
    </w:lvl>
    <w:lvl w:ilvl="7" w:tplc="04090019" w:tentative="1">
      <w:start w:val="1"/>
      <w:numFmt w:val="lowerLetter"/>
      <w:lvlText w:val="%8)"/>
      <w:lvlJc w:val="left"/>
      <w:pPr>
        <w:ind w:left="4380" w:hanging="420"/>
      </w:pPr>
    </w:lvl>
    <w:lvl w:ilvl="8" w:tplc="0409001B" w:tentative="1">
      <w:start w:val="1"/>
      <w:numFmt w:val="lowerRoman"/>
      <w:lvlText w:val="%9."/>
      <w:lvlJc w:val="right"/>
      <w:pPr>
        <w:ind w:left="4800" w:hanging="420"/>
      </w:pPr>
    </w:lvl>
  </w:abstractNum>
  <w:abstractNum w:abstractNumId="9" w15:restartNumberingAfterBreak="0">
    <w:nsid w:val="49464363"/>
    <w:multiLevelType w:val="hybridMultilevel"/>
    <w:tmpl w:val="CF3017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2AA1614"/>
    <w:multiLevelType w:val="hybridMultilevel"/>
    <w:tmpl w:val="AB7649C8"/>
    <w:lvl w:ilvl="0" w:tplc="4C70E30C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11" w15:restartNumberingAfterBreak="0">
    <w:nsid w:val="58B13BC8"/>
    <w:multiLevelType w:val="hybridMultilevel"/>
    <w:tmpl w:val="431AB01A"/>
    <w:lvl w:ilvl="0" w:tplc="8F74F6F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A06674F"/>
    <w:multiLevelType w:val="hybridMultilevel"/>
    <w:tmpl w:val="046ABF92"/>
    <w:lvl w:ilvl="0" w:tplc="4CC23C0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9B167E0"/>
    <w:multiLevelType w:val="hybridMultilevel"/>
    <w:tmpl w:val="B7DC28AC"/>
    <w:lvl w:ilvl="0" w:tplc="8F74F6F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79E3E71"/>
    <w:multiLevelType w:val="hybridMultilevel"/>
    <w:tmpl w:val="A7B42B42"/>
    <w:lvl w:ilvl="0" w:tplc="80B06664">
      <w:start w:val="1"/>
      <w:numFmt w:val="japaneseCounting"/>
      <w:lvlText w:val="第%1节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819278C"/>
    <w:multiLevelType w:val="hybridMultilevel"/>
    <w:tmpl w:val="3E4C5662"/>
    <w:lvl w:ilvl="0" w:tplc="6EDE995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83E449E"/>
    <w:multiLevelType w:val="hybridMultilevel"/>
    <w:tmpl w:val="88C0D438"/>
    <w:lvl w:ilvl="0" w:tplc="FF029114">
      <w:start w:val="1"/>
      <w:numFmt w:val="japaneseCounting"/>
      <w:lvlText w:val="第%1章"/>
      <w:lvlJc w:val="left"/>
      <w:pPr>
        <w:ind w:left="1120" w:hanging="1120"/>
      </w:pPr>
      <w:rPr>
        <w:rFonts w:hint="default"/>
      </w:rPr>
    </w:lvl>
    <w:lvl w:ilvl="1" w:tplc="25A0F42C">
      <w:start w:val="1"/>
      <w:numFmt w:val="japaneseCounting"/>
      <w:lvlText w:val="第%2节、"/>
      <w:lvlJc w:val="left"/>
      <w:pPr>
        <w:ind w:left="150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C08066C"/>
    <w:multiLevelType w:val="hybridMultilevel"/>
    <w:tmpl w:val="24DEAFE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14"/>
  </w:num>
  <w:num w:numId="3">
    <w:abstractNumId w:val="0"/>
  </w:num>
  <w:num w:numId="4">
    <w:abstractNumId w:val="12"/>
  </w:num>
  <w:num w:numId="5">
    <w:abstractNumId w:val="4"/>
  </w:num>
  <w:num w:numId="6">
    <w:abstractNumId w:val="15"/>
  </w:num>
  <w:num w:numId="7">
    <w:abstractNumId w:val="1"/>
  </w:num>
  <w:num w:numId="8">
    <w:abstractNumId w:val="10"/>
  </w:num>
  <w:num w:numId="9">
    <w:abstractNumId w:val="8"/>
  </w:num>
  <w:num w:numId="10">
    <w:abstractNumId w:val="11"/>
  </w:num>
  <w:num w:numId="11">
    <w:abstractNumId w:val="17"/>
  </w:num>
  <w:num w:numId="12">
    <w:abstractNumId w:val="13"/>
  </w:num>
  <w:num w:numId="13">
    <w:abstractNumId w:val="5"/>
  </w:num>
  <w:num w:numId="14">
    <w:abstractNumId w:val="6"/>
  </w:num>
  <w:num w:numId="15">
    <w:abstractNumId w:val="3"/>
  </w:num>
  <w:num w:numId="16">
    <w:abstractNumId w:val="9"/>
  </w:num>
  <w:num w:numId="17">
    <w:abstractNumId w:val="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B39"/>
    <w:rsid w:val="00014C48"/>
    <w:rsid w:val="00051301"/>
    <w:rsid w:val="00054874"/>
    <w:rsid w:val="00056FDD"/>
    <w:rsid w:val="000C29B4"/>
    <w:rsid w:val="000C575B"/>
    <w:rsid w:val="000E7588"/>
    <w:rsid w:val="000F5806"/>
    <w:rsid w:val="00124BF3"/>
    <w:rsid w:val="00124E90"/>
    <w:rsid w:val="00144172"/>
    <w:rsid w:val="001B0B08"/>
    <w:rsid w:val="001D6E6E"/>
    <w:rsid w:val="00200FF9"/>
    <w:rsid w:val="00205E44"/>
    <w:rsid w:val="0023496E"/>
    <w:rsid w:val="00264934"/>
    <w:rsid w:val="00280568"/>
    <w:rsid w:val="00285FF8"/>
    <w:rsid w:val="00295A6B"/>
    <w:rsid w:val="002A39C0"/>
    <w:rsid w:val="002D790D"/>
    <w:rsid w:val="002F44B6"/>
    <w:rsid w:val="002F536A"/>
    <w:rsid w:val="003027E8"/>
    <w:rsid w:val="00302E99"/>
    <w:rsid w:val="0030458E"/>
    <w:rsid w:val="003361A8"/>
    <w:rsid w:val="00375FFA"/>
    <w:rsid w:val="003928D6"/>
    <w:rsid w:val="003A4FAD"/>
    <w:rsid w:val="003F7272"/>
    <w:rsid w:val="00434F36"/>
    <w:rsid w:val="004C2E35"/>
    <w:rsid w:val="0050538E"/>
    <w:rsid w:val="00510E3D"/>
    <w:rsid w:val="00514C06"/>
    <w:rsid w:val="005B0E8F"/>
    <w:rsid w:val="005B67DF"/>
    <w:rsid w:val="005E3409"/>
    <w:rsid w:val="005F5FDF"/>
    <w:rsid w:val="00621EF9"/>
    <w:rsid w:val="00661DF2"/>
    <w:rsid w:val="00701D92"/>
    <w:rsid w:val="00713A83"/>
    <w:rsid w:val="00727DEE"/>
    <w:rsid w:val="00741D6E"/>
    <w:rsid w:val="0074476D"/>
    <w:rsid w:val="00762B39"/>
    <w:rsid w:val="00784768"/>
    <w:rsid w:val="007A7DE0"/>
    <w:rsid w:val="008370C9"/>
    <w:rsid w:val="00837D49"/>
    <w:rsid w:val="00856B63"/>
    <w:rsid w:val="00864926"/>
    <w:rsid w:val="00866E2C"/>
    <w:rsid w:val="0088441C"/>
    <w:rsid w:val="0088624A"/>
    <w:rsid w:val="008A4653"/>
    <w:rsid w:val="008A4F5D"/>
    <w:rsid w:val="00900C62"/>
    <w:rsid w:val="00914C75"/>
    <w:rsid w:val="00933AFA"/>
    <w:rsid w:val="00933C87"/>
    <w:rsid w:val="00955181"/>
    <w:rsid w:val="00971473"/>
    <w:rsid w:val="009A75FA"/>
    <w:rsid w:val="009B6A7B"/>
    <w:rsid w:val="009D6C3B"/>
    <w:rsid w:val="009E41C4"/>
    <w:rsid w:val="009E5F94"/>
    <w:rsid w:val="00A22ED2"/>
    <w:rsid w:val="00A96E3D"/>
    <w:rsid w:val="00AC4D11"/>
    <w:rsid w:val="00B6154E"/>
    <w:rsid w:val="00BA2341"/>
    <w:rsid w:val="00C27747"/>
    <w:rsid w:val="00CC173F"/>
    <w:rsid w:val="00CD51A1"/>
    <w:rsid w:val="00D0332D"/>
    <w:rsid w:val="00D133AC"/>
    <w:rsid w:val="00D81E43"/>
    <w:rsid w:val="00DB231F"/>
    <w:rsid w:val="00DE2F1C"/>
    <w:rsid w:val="00E073D4"/>
    <w:rsid w:val="00E55A37"/>
    <w:rsid w:val="00EC09DC"/>
    <w:rsid w:val="00ED1699"/>
    <w:rsid w:val="00EE6673"/>
    <w:rsid w:val="00F05815"/>
    <w:rsid w:val="00F47E61"/>
    <w:rsid w:val="00F938AE"/>
    <w:rsid w:val="00F96023"/>
    <w:rsid w:val="00FC40C2"/>
    <w:rsid w:val="00FC5FDB"/>
    <w:rsid w:val="00FE576E"/>
    <w:rsid w:val="00FF52D7"/>
    <w:rsid w:val="00FF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3AC8F"/>
  <w15:chartTrackingRefBased/>
  <w15:docId w15:val="{61049E03-D0EA-4AA6-AAFB-6969361F7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4417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441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14417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144172"/>
    <w:rPr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1441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9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5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4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2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3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5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2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5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2021-11-11T10:47:00Z</dcterms:created>
  <dcterms:modified xsi:type="dcterms:W3CDTF">2021-11-13T08:55:00Z</dcterms:modified>
</cp:coreProperties>
</file>