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古典文献形态学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古典文献的物质形态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一、图文符号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字体：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一般用楷书，因其好认好写好刻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明代时出现了一种横细竖粗的字体，被称为“匠体字”，即后来的“宋体字”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有些图书在印章上会刻篆文，因此还需会识别一些篆文。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明清时期，在戏曲小说的刊印过程中出现了“俗字”，有些就是后来的简体字。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符号</w:t>
      </w:r>
    </w:p>
    <w:p>
      <w:pPr>
        <w:ind w:left="700"/>
      </w:pPr>
      <w:r>
        <w:drawing>
          <wp:inline distT="0" distB="0" distL="0" distR="0">
            <wp:extent cx="3810000" cy="158936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58936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二、载体材料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纸是最常用的载体材料，在纸出现之前最常用的是木片(牍)与竹简(简)。东晋永史二年(404)桓玄才下令废简用纸。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除了纸，还有兽骨和龟甲、帛。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从晋代到唐代盛行的主要是麻纸；宋元时期主要是树皮纸和竹纸；明清时期以竹纸为主。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三、装订形式——以纸本图书为主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写本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卷轴装：汉魏六朝到隋唐五代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旋风装：唐代中期出现，开启后代册页装的先河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经折装：唐代后期出现，最早是佛经的装订方式。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刻本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蝴蝶装：盛行于宋代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包背装：始于南宋，流行于元代到明前期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线装：始于南宋初，通行于明代中叶，至清初而大盛。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四、版式和装帧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版式：图书版面的安排方式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写本书：简的长度和书写顺序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刻本书：</w:t>
      </w:r>
    </w:p>
    <w:p>
      <w:pPr>
        <w:ind w:left="1050"/>
      </w:pPr>
      <w:r>
        <w:drawing>
          <wp:inline distT="0" distB="0" distL="0" distR="0">
            <wp:extent cx="3810000" cy="32666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2666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205303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5303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255665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55665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古典文献的类型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一、编撰方式的类型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著：前无所承、独出心裁的论著。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述：凭借旧有的文献典籍，用新创的体例重新加以剪裁、编次、整理而成。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编：将旧有的纷杂的文献材料，加以分门别类的抄录、编集的资料集。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译：翻译。最早的是佛经的翻译。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二、一般类型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别集：按照一定的体例汇集一位作者作品的图书。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总集：按照一定的体力收录不同作者诗文作品的图书。 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类书：抄集群书词、句、段、篇，分类编撰，以供检查的工具书。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丛书：把多种不同的书编在一起，冠以总名。</w:t>
      </w:r>
    </w:p>
    <w:p>
      <w:pPr>
        <w:ind w:left="700"/>
      </w:pPr>
      <w:r>
        <w:rPr>
          <w:color w:val="#888888"/>
          <w:sz w:val="20"/>
          <w:szCs w:val="20"/>
          <w:rFonts w:ascii="Microsoft YaHei" w:cs="Microsoft YaHei" w:eastAsia="Microsoft YaHei" w:hAnsi="Microsoft YaHei"/>
        </w:rPr>
        <w:t xml:space="preserve">与类书的区别是：收书完整、不删节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古典文献的体例</w:t>
      </w:r>
    </w:p>
    <w:p>
      <w:pPr>
        <w:ind w:left="0"/>
      </w:pPr>
      <w:r>
        <w:drawing>
          <wp:inline distT="0" distB="0" distL="0" distR="0">
            <wp:extent cx="3810000" cy="212163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12163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2371725" cy="214132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2371725" cy="214132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2133600" cy="214730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2133600" cy="214730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1962150" cy="111039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1962150" cy="111039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zdkf7sdj8867nkrrqzw3w.png"/><Relationship Id="rId8" Type="http://schemas.openxmlformats.org/officeDocument/2006/relationships/image" Target="media/q08n19gwr0iqau70f9fip.png"/><Relationship Id="rId9" Type="http://schemas.openxmlformats.org/officeDocument/2006/relationships/image" Target="media/5uo8kw2bnt31vsqmljfrg4.png"/><Relationship Id="rId10" Type="http://schemas.openxmlformats.org/officeDocument/2006/relationships/image" Target="media/van48nosq4ttraavkqetkh.png"/><Relationship Id="rId11" Type="http://schemas.openxmlformats.org/officeDocument/2006/relationships/image" Target="media/selwjtr1zz9sq4jz9bh9mp.png"/><Relationship Id="rId12" Type="http://schemas.openxmlformats.org/officeDocument/2006/relationships/image" Target="media/zcgyemb7hdqlybara4av4.png"/><Relationship Id="rId13" Type="http://schemas.openxmlformats.org/officeDocument/2006/relationships/image" Target="media/xnr7yq9b2mgdk6hlo28vji.png"/><Relationship Id="rId14" Type="http://schemas.openxmlformats.org/officeDocument/2006/relationships/image" Target="media/nahna0ip7zlq4q1dn2307b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古典文献形态学</dc:title>
  <dcterms:created xsi:type="dcterms:W3CDTF">2022-04-23T10:11:48Z</dcterms:created>
  <dcterms:modified xsi:type="dcterms:W3CDTF">2022-04-23T10:11:48Z</dcterms:modified>
</cp:coreProperties>
</file>