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古籍校勘学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古籍校勘的原则、目的和方法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原则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：存真复原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目的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：实事求是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方法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：缺疑慎改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一、原则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何谓校勘？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对比一书的不同版本、他书的有关资料或一书前后有关文字，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发现并审定古籍在流传过程中发生的文字讹误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为何校勘？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为学习者和研究者提供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真实可靠的古籍文本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古籍问世之初的版本？——“真”本
文字错误最少的版本？——“善”本
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从理论上说，古籍校勘的根本原则就是绝对客观地存真复原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存古籍作者原稿之“真”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复古籍写定稿本之“原”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古籍流传过程中出现的两类文字讹误：</w:t>
      </w:r>
    </w:p>
    <w:p>
      <w:pPr>
        <w:pStyle w:val="ListParagraph"/>
        <w:numPr>
          <w:ilvl w:val="2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异文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：不同版本同一位置的文字不同</w:t>
      </w:r>
    </w:p>
    <w:p>
      <w:pPr>
        <w:pStyle w:val="ListParagraph"/>
        <w:numPr>
          <w:ilvl w:val="2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疑误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：不同版本同一位置的文字相同，但上下文读不通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现存古籍异文的三种情况：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既有异文，必有正误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两种或几种异文都解释得通，所谓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“义得两通”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两种或几种异文都解释不通，即既存异文可能都属错讹，正确文本已经泯灭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  <w:shd w:val="clear" w:fill="#f8e6ab" w:color="#f8e6ab"/>
          <w:shdCs w:val="clear" w:fill="#f8e6ab" w:color="#f8e6ab"/>
        </w:rPr>
        <w:t xml:space="preserve">陈垣“校勘四法”</w:t>
      </w:r>
    </w:p>
    <w:p>
      <w:pPr>
        <w:ind w:left="35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《元典章校补释例》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对校法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：同书异本互校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本校法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：本书前后互证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他校法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：以他书校本书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理校法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：据理推证讹误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清代校勘学家分为两派：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对校派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主张校勘目的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只是勘同异，而不能定是非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，如顾广圻(1766-1835)、 卢文詔(1717-1795 )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理校派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主张校勘目的是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既要勘同异，也要定是非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，如戴震(1724-1777)、 段玉裁(1735-1815)、 王念孙( 1744-1832)、王引之( 1766-1834)、俞樾( 1821-1907)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叶德辉(1864-1927)《藏书十约●校勘》称为“死校”与“活校”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国外现代文献整理的两种倾向：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“原本主义”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相信任何文献都有一个绝对可靠的理想的原本(即文献的最早形式)，文献整理的目的就是恢复文献的原本，或至少尽量接近理想的原本，即便原本有误，也不可改正。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“文本制作主义”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认为文献整理的目的是提供一个没有差讹的最好的文本，即使是原本，有错误也要改正。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二、目的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“实事求是” 的双重指向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存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原本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之实，求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版本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之是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存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事实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之实，求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作者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之是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段玉裁《经韵楼集》卷五《与胡孝廉世琦书》: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读书有本子之是非，有作书者之是非。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本子之是非，可雠校而定之;作书者之是非，则未易定也。慎修先生、东原师皆曰:‘从事经学，盖有三难:淹博难，识断难，审定难。’仆以为，定本子之是非，存乎淹博;定作书者之是非，则存乎识断、审定。”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文本与作者之关系：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文本生成于作者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文本独立于作者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“死”作者与“活”文本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作者早已故去，文本却在后世的校勘与解读中不断生成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古籍校勘与书籍校对的异同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求原本之真，即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尽量恢复古籍的原来面貌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古籍定稿之时或问世之初的本来面貌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后世各种版本的本来面貌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原本的多样性：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“同书异本”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“一书各本”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诗文“原本”的多种样貌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白居易在世时，即先后由元稹编成五十卷《白氏长庆集》，自编六十卷、六十五卷、六十七卷、七十五卷《白氏文集》。这些各自不同的文集，不仅篇章、卷数逐次递增，而且因为辗转抄录，正文文字也当互有异同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戏曲小说的 “世无定本”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中国古代小说是没有版权这个概念的，参见郭英德《中国古代小说版本研究刍议》(《文学遗产》2005年第2期）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如何看待古籍作者的“错误”？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“有意而讹”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：作者有意写错，为了增加文本的表达效果。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“改正为误”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：校勘者因为学识不够而将原本正确的版本改错了。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“存误即存真”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：校勘者故意保留错误，留给后世，以便后世研究作者当时原本的写作状态。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三、校勘的方法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多闻阙疑：学术研究的科学态度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古籍校勘的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  <w:shd w:val="clear" w:fill="#f8e6ab" w:color="#f8e6ab"/>
          <w:shdCs w:val="clear" w:fill="#f8e6ab" w:color="#f8e6ab"/>
        </w:rPr>
        <w:t xml:space="preserve">方法准则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有理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即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有充分的理由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，尽可能地运用文字、音韵、训诂及历史文化知识等作为古籍校勘的理论依据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即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有可信的内证与外证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，一丝不苟地以所校古籍的版本异文、本书义例或他书资料作为材料依据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有本慎改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康熙钦定《全唐诗》李白《静夜思》:“床前看月光，疑是地上霜。举头望山月，低头思故乡。”同宋刊本《李太白文集》，及宋人郭茂倩《乐府诗集》、洪迈《万首唐人绝句》，元萧士资《分类补注李太白集》，明高楝《唐诗品汇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明代： “床前看月光”→“床前明月光”，“举头望山月”→“举头望明月”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蘅塘退士《唐诗三百首》:“床前明月光，疑是地上霜。举头望明月，低头思故乡。”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存疑待考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吴师道( 1283-1344)撰《战国策补注序》：“汉儒校经，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未尝去本字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，但云‘某当作某’、‘某读如某’，示谨重也。古书字多假借，音亦相通。鲍(指鲍彪)直去本文，径加改字，岂传疑存旧之意哉?比事次时，当有明征，其不可定知者，朗焉可也，岂必强为傅会?”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古籍校勘的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  <w:shd w:val="clear" w:fill="#f8e6ab" w:color="#f8e6ab"/>
          <w:shdCs w:val="clear" w:fill="#f8e6ab" w:color="#f8e6ab"/>
        </w:rPr>
        <w:t xml:space="preserve">处理方式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照录底本， 注记正误。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阮元《重刻宋板注疏总目录》：“刻书者最患以臆见改古书。今重刻宋板，凡有明知宋板之误字，亦不使轻改，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但加圈于误字之旁，而别撰校勘记，择其说，附载于每卷之末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。俾后之学者不疑于古籍之不可据，慎之至也。”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择善而从，无本不改。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王树民《廿二史札记校证前言》:“……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本书即以三本互校，择善而从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，凡原刻本误而经二本改正者，皆从之，并在校证中注明；如原刻本不误而二本误改者，则从原刻本而不出校。”倘三本皆无异文，而王氏以为疑误，则出校而不改字。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改正底本，注存异文。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卢文招《新校说苑序》:“宋本自胜今世所行本，然亦多错误。今取他书互证之，其灼然断在不疑者，则就改本文，而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注其他所讹于下，使后来者有所考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。若疑者、两通者，则但注其下而已。”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改正底本，并见异文。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如黄晖《论衡校释例略》说:“以通津本为据，其依别本及他书改、补者，则曰‘据某本某书当改’、‘据某本某书当补’，不敢冯臆擅动，窜乱原书。其是正补删之字，以符号识别。”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脱字用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□ 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号，补字用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[ ] 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号，改字用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( ) 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号，删字用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□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 号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古籍校勘学</dc:title>
  <dcterms:created xsi:type="dcterms:W3CDTF">2022-04-23T10:12:26Z</dcterms:created>
  <dcterms:modified xsi:type="dcterms:W3CDTF">2022-04-23T10:12:26Z</dcterms:modified>
</cp:coreProperties>
</file>