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Weekly Operating Summary</w:t>
      </w:r>
    </w:p>
    <w:p>
      <w:pPr>
        <w:pStyle w:val="Subtitle"/>
      </w:pPr>
      <w:r>
        <w:t xml:space="preserve">Week 24 - bound to metrics.csv</w:t>
      </w:r>
    </w:p>
    <w:p>
      <w:pPr>
        <w:pStyle w:val="Heading2"/>
      </w:pPr>
      <w:r>
        <w:t xml:space="preserve">Highlights</w:t>
      </w:r>
    </w:p>
    <w:p>
      <w:r>
        <w:t xml:space="preserve">Revenue grew +18% week-on-week to $48.6k MRR, on 427 new signups. Churn eased to 2.4%.</w:t>
      </w:r>
    </w:p>
    <w:p>
      <w:pPr>
        <w:pStyle w:val="Heading2"/>
      </w:pPr>
      <w:r>
        <w:t xml:space="preserve">Key metrics</w:t>
      </w:r>
    </w:p>
    <w:tbl>
      <w:tblPr>
        <w:tblStyle w:val="TableGrid"/>
        <w:tblW w:w="0" w:type="auto"/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Metric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Previous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Current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Change</w:t>
            </w:r>
          </w:p>
        </w:tc>
      </w:tr>
      <w:tr>
        <w:tc>
          <w:tcPr>
            <w:tcW w:w="0" w:type="auto"/>
          </w:tcPr>
          <w:p>
            <w:r>
              <w:t xml:space="preserve">MRR</w:t>
            </w:r>
          </w:p>
        </w:tc>
        <w:tc>
          <w:tcPr>
            <w:tcW w:w="0" w:type="auto"/>
          </w:tcPr>
          <w:p>
            <w:r>
              <w:t xml:space="preserve">$41.2k</w:t>
            </w:r>
          </w:p>
        </w:tc>
        <w:tc>
          <w:tcPr>
            <w:tcW w:w="0" w:type="auto"/>
          </w:tcPr>
          <w:p>
            <w:r>
              <w:t xml:space="preserve">$48.6k</w:t>
            </w:r>
          </w:p>
        </w:tc>
        <w:tc>
          <w:tcPr>
            <w:tcW w:w="0" w:type="auto"/>
          </w:tcPr>
          <w:p>
            <w:r>
              <w:t xml:space="preserve">+18%</w:t>
            </w:r>
          </w:p>
        </w:tc>
      </w:tr>
      <w:tr>
        <w:tc>
          <w:tcPr>
            <w:tcW w:w="0" w:type="auto"/>
          </w:tcPr>
          <w:p>
            <w:r>
              <w:t xml:space="preserve">New signups</w:t>
            </w:r>
          </w:p>
        </w:tc>
        <w:tc>
          <w:tcPr>
            <w:tcW w:w="0" w:type="auto"/>
          </w:tcPr>
          <w:p>
            <w:r>
              <w:t xml:space="preserve">312</w:t>
            </w:r>
          </w:p>
        </w:tc>
        <w:tc>
          <w:tcPr>
            <w:tcW w:w="0" w:type="auto"/>
          </w:tcPr>
          <w:p>
            <w:r>
              <w:t xml:space="preserve">427</w:t>
            </w:r>
          </w:p>
        </w:tc>
        <w:tc>
          <w:tcPr>
            <w:tcW w:w="0" w:type="auto"/>
          </w:tcPr>
          <w:p>
            <w:r>
              <w:t xml:space="preserve">+37%</w:t>
            </w:r>
          </w:p>
        </w:tc>
      </w:tr>
      <w:tr>
        <w:tc>
          <w:tcPr>
            <w:tcW w:w="0" w:type="auto"/>
          </w:tcPr>
          <w:p>
            <w:r>
              <w:t xml:space="preserve">Churn</w:t>
            </w:r>
          </w:p>
        </w:tc>
        <w:tc>
          <w:tcPr>
            <w:tcW w:w="0" w:type="auto"/>
          </w:tcPr>
          <w:p>
            <w:r>
              <w:t xml:space="preserve">3.1%</w:t>
            </w:r>
          </w:p>
        </w:tc>
        <w:tc>
          <w:tcPr>
            <w:tcW w:w="0" w:type="auto"/>
          </w:tcPr>
          <w:p>
            <w:r>
              <w:t xml:space="preserve">2.4%</w:t>
            </w:r>
          </w:p>
        </w:tc>
        <w:tc>
          <w:tcPr>
            <w:tcW w:w="0" w:type="auto"/>
          </w:tcPr>
          <w:p>
            <w:r>
              <w:t xml:space="preserve">-0.7pt</w:t>
            </w:r>
          </w:p>
        </w:tc>
      </w:tr>
      <w:tr>
        <w:tc>
          <w:tcPr>
            <w:tcW w:w="0" w:type="auto"/>
          </w:tcPr>
          <w:p>
            <w:r>
              <w:t xml:space="preserve">Active workspaces</w:t>
            </w:r>
          </w:p>
        </w:tc>
        <w:tc>
          <w:tcPr>
            <w:tcW w:w="0" w:type="auto"/>
          </w:tcPr>
          <w:p>
            <w:r>
              <w:t xml:space="preserve">188</w:t>
            </w:r>
          </w:p>
        </w:tc>
        <w:tc>
          <w:tcPr>
            <w:tcW w:w="0" w:type="auto"/>
          </w:tcPr>
          <w:p>
            <w:r>
              <w:t xml:space="preserve">205</w:t>
            </w:r>
          </w:p>
        </w:tc>
        <w:tc>
          <w:tcPr>
            <w:tcW w:w="0" w:type="auto"/>
          </w:tcPr>
          <w:p>
            <w:r>
              <w:t xml:space="preserve">+9%</w:t>
            </w:r>
          </w:p>
        </w:tc>
      </w:tr>
    </w:tbl>
    <w:p/>
    <w:p>
      <w:pPr>
        <w:pStyle w:val="Heading2"/>
      </w:pPr>
      <w:r>
        <w:t xml:space="preserve">Commentary</w:t>
      </w:r>
    </w:p>
    <w:p>
      <w:r>
        <w:t xml:space="preserve">Growth remained steady this week, continuing the gradual climb seen since early Q2.</w:t>
      </w:r>
    </w:p>
    <w:p>
      <w:r>
        <w:drawing>
          <wp:inline distT="0" distB="0" distL="0" distR="0">
            <wp:extent cx="1143000" cy="571500"/>
            <wp:effectExtent l="0" t="0" r="0" b="0"/>
            <wp:docPr id="1000" name="Weekly trend chart" descr="Weekly trend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Weekly trend chart" descr="Weekly trend chart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Wins this week</w:t>
      </w:r>
    </w:p>
    <w:p>
      <w:pPr>
        <w:pStyle w:val="ListBullet"/>
        <w:numPr>
          <w:ilvl w:val="0"/>
          <w:numId w:val="1"/>
        </w:numPr>
      </w:pPr>
      <w:r>
        <w:t xml:space="preserve">Onboarding flow shipped to all workspaces</w:t>
      </w:r>
    </w:p>
    <w:p>
      <w:pPr>
        <w:pStyle w:val="ListBullet"/>
        <w:numPr>
          <w:ilvl w:val="0"/>
          <w:numId w:val="1"/>
        </w:numPr>
      </w:pPr>
      <w:r>
        <w:t xml:space="preserve">Support backlog cleared to zero</w:t>
      </w:r>
    </w:p>
    <w:p>
      <w:pPr>
        <w:pStyle w:val="ListBullet"/>
        <w:numPr>
          <w:ilvl w:val="0"/>
          <w:numId w:val="1"/>
        </w:numPr>
      </w:pPr>
      <w:r>
        <w:t xml:space="preserve">Two enterprise trials converted</w:t>
      </w:r>
    </w:p>
    <w:p>
      <w:pPr>
        <w:pStyle w:val="Heading3"/>
      </w:pPr>
      <w:r>
        <w:t xml:space="preserve">Next steps</w:t>
      </w:r>
    </w:p>
    <w:p>
      <w:pPr>
        <w:pStyle w:val="ListNumber"/>
        <w:numPr>
          <w:ilvl w:val="0"/>
          <w:numId w:val="100"/>
        </w:numPr>
      </w:pPr>
      <w:r>
        <w:t xml:space="preserve">Monitor activation on the new flow</w:t>
      </w:r>
    </w:p>
    <w:p>
      <w:pPr>
        <w:pStyle w:val="ListNumber"/>
        <w:numPr>
          <w:ilvl w:val="0"/>
          <w:numId w:val="100"/>
        </w:numPr>
      </w:pPr>
      <w:r>
        <w:t xml:space="preserve">Prepare the mid-quarter board update</w:t>
      </w:r>
    </w:p>
    <w:p>
      <w:pPr>
        <w:pStyle w:val="ListNumber"/>
        <w:numPr>
          <w:ilvl w:val="0"/>
          <w:numId w:val="100"/>
        </w:numPr>
      </w:pPr>
      <w:r>
        <w:t xml:space="preserve">Close the next hiring cohort</w:t>
      </w:r>
    </w:p>
    <w:p>
      <w:pPr>
        <w:pStyle w:val="Heading2"/>
      </w:pPr>
      <w:r>
        <w:t xml:space="preserve">What to watch</w:t>
      </w:r>
    </w:p>
    <w:p>
      <w:r>
        <w:t xml:space="preserve">Activation rate on the new onboarding flow, and whether the signup spike sustains into next week.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Symbol" w:hAnsi="Symbo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Symbol" w:hAnsi="Symbol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  <w:num w:numId="100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20"/>
    </w:pPr>
    <w:rPr>
      <w:sz w:val="56"/>
      <w:b/>
    </w:rPr>
  </w:style>
  <w:style w:type="paragraph" w:styleId="Subtitle">
    <w:name w:val="Subtitle"/>
    <w:basedOn w:val="Normal"/>
    <w:next w:val="Normal"/>
    <w:qFormat/>
    <w:rPr>
      <w:i/>
      <w:color w:val="595959"/>
      <w:sz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spacing w:before="240" w:after="60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spacing w:before="240" w:after="60"/>
      <w:outlineLvl w:val="5"/>
    </w:pPr>
    <w:rPr>
      <w:b/>
      <w:sz w:val="22"/>
    </w:r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Number">
    <w:name w:val="List Number"/>
    <w:basedOn w:val="Normal"/>
    <w:qFormat/>
    <w:pPr>
      <w:numPr>
        <w:numId w:val="2"/>
      </w:numPr>
    </w:pPr>
  </w:style>
  <w:style w:type="paragraph" w:styleId="Quote">
    <w:name w:val="Quote"/>
    <w:basedOn w:val="Normal"/>
    <w:next w:val="Normal"/>
    <w:qFormat/>
    <w:pPr>
      <w:ind w:left="720"/>
    </w:pPr>
    <w:rPr>
      <w:i/>
      <w:color w:val="404040"/>
    </w:rPr>
  </w:style>
  <w:style w:type="paragraph" w:styleId="HTMLPreformatted">
    <w:name w:val="HTML Preformatted"/>
    <w:basedOn w:val="Normal"/>
    <w:pPr>
      <w:spacing w:after="0" w:line="240" w:lineRule="auto"/>
    </w:pPr>
    <w:rPr>
      <w:rFonts w:ascii="Consolas" w:hAnsi="Consolas"/>
      <w:sz w:val="20"/>
    </w:rPr>
  </w:style>
  <w:style w:type="character" w:styleId="Hyperlink">
    <w:name w:val="Hyperlink"/>
    <w:rPr>
      <w:color w:val="0563C1"/>
      <w:u w:val="single"/>
    </w:rPr>
  </w:style>
  <w:style w:type="character" w:styleId="VerbatimChar">
    <w:name w:val="Verbatim Char"/>
    <w:rPr>
      <w:rFonts w:ascii="Consolas" w:hAnsi="Consolas"/>
      <w:sz w:val="20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