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Quarterly Update</w:t>
      </w:r>
    </w:p>
    <w:p>
      <w:pPr>
        <w:pStyle w:val="Heading1"/>
      </w:pPr>
      <w:r>
        <w:t xml:space="preserve">Quarterly Update</w:t>
      </w:r>
    </w:p>
    <w:p>
      <w:pPr>
        <w:pStyle w:val="Heading2"/>
      </w:pPr>
      <w:r>
        <w:t xml:space="preserve">Summary</w:t>
      </w:r>
    </w:p>
    <w:p>
      <w:r>
        <w:t xml:space="preserve">This quarter showed </w:t>
      </w:r>
      <w:r>
        <w:rPr>
          <w:b/>
        </w:rPr>
        <w:t xml:space="preserve">strong growth</w:t>
      </w:r>
      <w:r>
        <w:t xml:space="preserve"> and </w:t>
      </w:r>
      <w:r>
        <w:rPr>
          <w:i/>
        </w:rPr>
        <w:t xml:space="preserve">steady margins</w:t>
      </w:r>
      <w:r>
        <w:t xml:space="preserve">. See the </w:t>
      </w:r>
      <w:hyperlink r:id="rId3">
        <w:r>
          <w:rPr>
            <w:rStyle w:val="Hyperlink"/>
          </w:rPr>
          <w:t xml:space="preserve">full dashboard</w:t>
        </w:r>
      </w:hyperlink>
      <w:r>
        <w:t xml:space="preserve"> for details.</w:t>
      </w:r>
    </w:p>
    <w:p>
      <w:r>
        <w:t xml:space="preserve">Final figure is 1200 for APAC.</w:t>
      </w:r>
    </w:p>
    <w:p>
      <w:pPr>
        <w:pStyle w:val="Heading2"/>
      </w:pPr>
      <w:r>
        <w:t xml:space="preserve">Highlights</w:t>
      </w:r>
    </w:p>
    <w:p>
      <w:pPr>
        <w:pStyle w:val="ListBullet"/>
        <w:numPr>
          <w:ilvl w:val="0"/>
          <w:numId w:val="1"/>
        </w:numPr>
      </w:pPr>
      <w:r>
        <w:t xml:space="preserve">Revenue up</w:t>
      </w:r>
    </w:p>
    <w:p>
      <w:pPr>
        <w:pStyle w:val="ListBullet"/>
        <w:numPr>
          <w:ilvl w:val="1"/>
          <w:numId w:val="1"/>
        </w:numPr>
      </w:pPr>
      <w:r>
        <w:t xml:space="preserve">APAC region led</w:t>
      </w:r>
    </w:p>
    <w:p>
      <w:pPr>
        <w:pStyle w:val="ListBullet"/>
        <w:numPr>
          <w:ilvl w:val="1"/>
          <w:numId w:val="1"/>
        </w:numPr>
      </w:pPr>
      <w:r>
        <w:t xml:space="preserve">EMEA followed</w:t>
      </w:r>
    </w:p>
    <w:p>
      <w:pPr>
        <w:pStyle w:val="ListBullet"/>
        <w:numPr>
          <w:ilvl w:val="0"/>
          <w:numId w:val="1"/>
        </w:numPr>
      </w:pPr>
      <w:r>
        <w:t xml:space="preserve">Costs controlled</w:t>
      </w:r>
    </w:p>
    <w:p>
      <w:pPr>
        <w:pStyle w:val="Heading2"/>
      </w:pPr>
      <w:r>
        <w:t xml:space="preserve">Regional table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**Region**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**Revenue**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**Growth**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**Notes**</w:t>
            </w:r>
          </w:p>
        </w:tc>
      </w:tr>
      <w:tr>
        <w:tc>
          <w:tcPr>
            <w:tcW w:w="0" w:type="auto"/>
          </w:tcPr>
          <w:p>
            <w:r>
              <w:t xml:space="preserve">APAC</w:t>
            </w:r>
          </w:p>
        </w:tc>
        <w:tc>
          <w:tcPr>
            <w:tcW w:w="0" w:type="auto"/>
          </w:tcPr>
          <w:p>
            <w:r>
              <w:t xml:space="preserve">1200</w:t>
            </w:r>
          </w:p>
        </w:tc>
        <w:tc>
          <w:tcPr>
            <w:tcW w:w="0" w:type="auto"/>
          </w:tcPr>
          <w:p>
            <w:r>
              <w:t xml:space="preserve">12%</w:t>
            </w:r>
          </w:p>
        </w:tc>
        <w:tc>
          <w:tcPr>
            <w:tcW w:w="0" w:type="auto"/>
          </w:tcPr>
          <w:p>
            <w:r>
              <w:t xml:space="preserve">strong</w:t>
            </w:r>
          </w:p>
        </w:tc>
      </w:tr>
      <w:tr>
        <w:tc>
          <w:tcPr>
            <w:tcW w:w="0" w:type="auto"/>
          </w:tcPr>
          <w:p>
            <w:r>
              <w:t xml:space="preserve">EMEA</w:t>
            </w:r>
          </w:p>
        </w:tc>
        <w:tc>
          <w:tcPr>
            <w:tcW w:w="0" w:type="auto"/>
          </w:tcPr>
          <w:p>
            <w:r>
              <w:t xml:space="preserve">900</w:t>
            </w:r>
          </w:p>
        </w:tc>
        <w:tc>
          <w:tcPr>
            <w:tcW w:w="0" w:type="auto"/>
          </w:tcPr>
          <w:p>
            <w:r>
              <w:t xml:space="preserve">5%</w:t>
            </w:r>
          </w:p>
        </w:tc>
        <w:tc>
          <w:tcPr>
            <w:tcW w:w="0" w:type="auto"/>
          </w:tcPr>
          <w:p>
            <w:r>
              <w:t xml:space="preserve">steady</w:t>
            </w:r>
          </w:p>
        </w:tc>
      </w:tr>
      <w:tr>
        <w:tc>
          <w:tcPr>
            <w:tcW w:w="0" w:type="auto"/>
          </w:tcPr>
          <w:p>
            <w:r>
              <w:t xml:space="preserve">AMER</w:t>
            </w:r>
          </w:p>
        </w:tc>
        <w:tc>
          <w:tcPr>
            <w:tcW w:w="0" w:type="auto"/>
          </w:tcPr>
          <w:p>
            <w:r>
              <w:t xml:space="preserve">1500</w:t>
            </w:r>
          </w:p>
        </w:tc>
        <w:tc>
          <w:tcPr>
            <w:tcW w:w="0" w:type="auto"/>
          </w:tcPr>
          <w:p>
            <w:r>
              <w:t xml:space="preserve">8%</w:t>
            </w:r>
          </w:p>
        </w:tc>
        <w:tc>
          <w:tcPr>
            <w:tcW w:w="0" w:type="auto"/>
          </w:tcPr>
          <w:p>
            <w:r>
              <w:t xml:space="preserve">stable</w:t>
            </w:r>
          </w:p>
        </w:tc>
      </w:tr>
    </w:tbl>
    <w:p/>
    <w:p>
      <w:pPr>
        <w:pStyle w:val="Heading2"/>
      </w:pPr>
      <w:r>
        <w:t xml:space="preserve">Chart</w:t>
      </w:r>
    </w:p>
    <w:p>
      <w:r>
        <w:t xml:space="preserve">[image: assets/Quarterly]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sz w:val="56"/>
      <w:b/>
    </w:rPr>
  </w:style>
  <w:style w:type="paragraph" w:styleId="Subtitle">
    <w:name w:val="Subtitle"/>
    <w:basedOn w:val="Normal"/>
    <w:next w:val="Normal"/>
    <w:qFormat/>
    <w:rPr>
      <w:i/>
      <w:color w:val="595959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6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60"/>
      <w:outlineLvl w:val="5"/>
    </w:pPr>
    <w:rPr>
      <w:b/>
      <w:sz w:val="22"/>
    </w:r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Number">
    <w:name w:val="List Number"/>
    <w:basedOn w:val="Normal"/>
    <w:qFormat/>
    <w:pPr>
      <w:numPr>
        <w:numId w:val="2"/>
      </w:numPr>
    </w:pPr>
  </w:style>
  <w:style w:type="paragraph" w:styleId="Quote">
    <w:name w:val="Quote"/>
    <w:basedOn w:val="Normal"/>
    <w:next w:val="Normal"/>
    <w:qFormat/>
    <w:pPr>
      <w:ind w:left="720"/>
    </w:pPr>
    <w:rPr>
      <w:i/>
      <w:color w:val="404040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nsolas" w:hAnsi="Consolas"/>
      <w:sz w:val="20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nsolas" w:hAnsi="Consolas"/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dashboard" TargetMode="External"/></Relationships>
</file>