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Weekly Operating Summary</w:t>
      </w:r>
    </w:p>
    <w:p>
      <w:pPr>
        <w:pStyle w:val="Subtitle"/>
      </w:pPr>
      <w:r>
        <w:t xml:space="preserve">Week of 14 July 2026</w:t>
      </w:r>
    </w:p>
    <w:p>
      <w:r>
        <w:t xml:space="preserve">Monthly recurring revenue reached </w:t>
      </w:r>
      <w:r>
        <w:rPr>
          <w:b/>
        </w:rPr>
        <w:t xml:space="preserve">$48.6k</w:t>
      </w:r>
      <w:r>
        <w:t xml:space="preserve">, up on the prior week. See the </w:t>
      </w:r>
      <w:hyperlink r:id="rId3">
        <w:r>
          <w:rPr>
            <w:rStyle w:val="Hyperlink"/>
          </w:rPr>
          <w:t xml:space="preserve">dashboard</w:t>
        </w:r>
      </w:hyperlink>
      <w:r>
        <w:t xml:space="preserve">.</w:t>
      </w:r>
    </w:p>
    <w:p>
      <w:pPr>
        <w:pStyle w:val="Heading2"/>
      </w:pPr>
      <w:r>
        <w:t xml:space="preserve">Key Figures</w:t>
      </w:r>
    </w:p>
    <w:tbl>
      <w:tblPr>
        <w:tblStyle w:val="TableGrid"/>
        <w:tblW w:w="0" w:type="auto"/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MRR</w:t>
            </w:r>
          </w:p>
        </w:tc>
        <w:tc>
          <w:tcPr>
            <w:tcW w:w="0" w:type="auto"/>
          </w:tcPr>
          <w:p>
            <w:r>
              <w:t xml:space="preserve">$48.6k</w:t>
            </w:r>
          </w:p>
        </w:tc>
      </w:tr>
      <w:tr>
        <w:tc>
          <w:tcPr>
            <w:tcW w:w="0" w:type="auto"/>
          </w:tcPr>
          <w:p>
            <w:r>
              <w:t xml:space="preserve">Active accounts</w:t>
            </w:r>
          </w:p>
        </w:tc>
        <w:tc>
          <w:tcPr>
            <w:tcW w:w="0" w:type="auto"/>
          </w:tcPr>
          <w:p>
            <w:r>
              <w:t xml:space="preserve">427</w:t>
            </w:r>
          </w:p>
        </w:tc>
      </w:tr>
    </w:tbl>
    <w:p/>
    <w:p>
      <w:pPr>
        <w:pStyle w:val="Heading2"/>
      </w:pPr>
      <w:r>
        <w:t xml:space="preserve">What to watch</w:t>
      </w:r>
    </w:p>
    <w:p>
      <w:pPr>
        <w:pStyle w:val="ListBullet"/>
        <w:numPr>
          <w:ilvl w:val="0"/>
          <w:numId w:val="1"/>
        </w:numPr>
      </w:pPr>
      <w:r>
        <w:t xml:space="preserve">Enterprise pipeline</w:t>
      </w:r>
    </w:p>
    <w:p>
      <w:pPr>
        <w:pStyle w:val="ListBullet"/>
        <w:numPr>
          <w:ilvl w:val="1"/>
          <w:numId w:val="1"/>
        </w:numPr>
      </w:pPr>
      <w:r>
        <w:t xml:space="preserve">Two deals in late stage</w:t>
      </w:r>
    </w:p>
    <w:p>
      <w:pPr>
        <w:pStyle w:val="ListBullet"/>
        <w:numPr>
          <w:ilvl w:val="0"/>
          <w:numId w:val="1"/>
        </w:numPr>
      </w:pPr>
      <w:r>
        <w:t xml:space="preserve">Churn ticked up</w:t>
      </w:r>
    </w:p>
    <w:p>
      <w:pPr>
        <w:pStyle w:val="ListNumber"/>
        <w:numPr>
          <w:ilvl w:val="0"/>
          <w:numId w:val="2"/>
        </w:numPr>
      </w:pPr>
      <w:r>
        <w:t xml:space="preserve">Confirm the forecast</w:t>
      </w:r>
    </w:p>
    <w:p>
      <w:pPr>
        <w:pStyle w:val="ListNumber"/>
        <w:numPr>
          <w:ilvl w:val="0"/>
          <w:numId w:val="2"/>
        </w:numPr>
      </w:pPr>
      <w:r>
        <w:t xml:space="preserve">Review the pipeline</w:t>
      </w:r>
    </w:p>
    <w:p>
      <w:pPr>
        <w:pStyle w:val="Quote"/>
      </w:pPr>
      <w:r>
        <w:t xml:space="preserve">Trust is the product.</w:t>
      </w:r>
    </w:p>
    <w:p>
      <w:r>
        <w:drawing>
          <wp:inline distT="0" distB="0" distL="0" distR="0">
            <wp:extent cx="9525" cy="9525"/>
            <wp:effectExtent l="0" t="0" r="0" b="0"/>
            <wp:docPr id="1000" name="Trend chart" descr="Trend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Trend chart" descr="Trend char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sz w:val="56"/>
      <w:b/>
    </w:rPr>
  </w:style>
  <w:style w:type="paragraph" w:styleId="Subtitle">
    <w:name w:val="Subtitle"/>
    <w:basedOn w:val="Normal"/>
    <w:next w:val="Normal"/>
    <w:qFormat/>
    <w:rPr>
      <w:i/>
      <w:color w:val="595959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60"/>
      <w:outlineLvl w:val="5"/>
    </w:pPr>
    <w:rPr>
      <w:b/>
      <w:sz w:val="22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  <w:style w:type="paragraph" w:styleId="Quote">
    <w:name w:val="Quote"/>
    <w:basedOn w:val="Normal"/>
    <w:next w:val="Normal"/>
    <w:qFormat/>
    <w:pPr>
      <w:ind w:left="720"/>
    </w:pPr>
    <w:rPr>
      <w:i/>
      <w:color w:val="404040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nsolas" w:hAnsi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nsolas" w:hAnsi="Consolas"/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dash" TargetMode="External"/><Relationship Id="rId4" Type="http://schemas.openxmlformats.org/officeDocument/2006/relationships/image" Target="media/image1.png"/></Relationships>
</file>