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谁真正创造了芯片的进步？</w:t>
      </w:r>
    </w:p>
    <w:p>
      <w:r>
        <w:rPr>
          <w:color w:val="646464"/>
          <w:sz w:val="22"/>
        </w:rPr>
        <w:t>从华为、Fabless、EDA到晶圆制造：一次关于设计、工艺与价值归属的讨论整理</w:t>
      </w:r>
    </w:p>
    <w:p>
      <w:pPr>
        <w:spacing w:after="240"/>
        <w:pBdr>
          <w:bottom w:val="single" w:sz="12" w:space="1" w:color="222222"/>
        </w:pBdr>
      </w:pPr>
      <w:r/>
    </w:p>
    <w:p>
      <w:pPr>
        <w:spacing w:after="120" w:line="283" w:lineRule="auto"/>
      </w:pPr>
      <w:r>
        <w:t>这篇文章整理自一段围绕华为、芯片设计、EDA、晶圆制造与Fabless商业模式展开的讨论。它不试图给每一类公司排出简单的高低，而是追问一个更根本的问题：当一颗芯片变得更快、更省电、更适合市场时，究竟是谁创造了这份进步，又是谁获得了最大的价值？</w:t>
      </w:r>
    </w:p>
    <w:p>
      <w:pPr>
        <w:pStyle w:val="Heading1"/>
      </w:pPr>
      <w:r>
        <w:t>一、华为为什么能设计芯片，却不需要拥有先进晶圆厂</w:t>
      </w:r>
    </w:p>
    <w:p>
      <w:pPr>
        <w:spacing w:after="120" w:line="283" w:lineRule="auto"/>
      </w:pPr>
      <w:r>
        <w:t>华为是理解现代半导体分工的一个典型案例。它可以通过海思等设计体系定义处理器、AI芯片、通信芯片和系统架构，但“设计芯片”并不等于“亲自制造晶圆”。</w:t>
      </w:r>
    </w:p>
    <w:p>
      <w:pPr>
        <w:spacing w:after="120" w:line="283" w:lineRule="auto"/>
      </w:pPr>
      <w:r>
        <w:t>一颗复杂芯片从想法到产品，通常要经过：产品需求、架构设计、逻辑设计、EDA实现与验证、晶圆制造、封装测试、系统集成和实际性能验证。华为能够控制其中的产品定义、架构、软件、网络和系统层，但物理制造仍需依赖晶圆厂、封装厂、存储器厂和测试体系。</w:t>
      </w:r>
    </w:p>
    <w:p>
      <w:pPr>
        <w:spacing w:after="120" w:line="283" w:lineRule="auto"/>
      </w:pPr>
      <w:r>
        <w:t>因此，华为与中芯国际这类晶圆厂之间不是简单的“客户—工厂”关系，而是一种被工艺设计套件（PDK）、设计规则、良率、产能和产品迭代紧密连接的协作关系。</w:t>
      </w:r>
    </w:p>
    <w:p>
      <w:pPr>
        <w:pStyle w:val="Heading1"/>
      </w:pPr>
      <w:r>
        <w:t>二、EDA不是简单的“画图纸软件”</w:t>
      </w:r>
    </w:p>
    <w:p>
      <w:pPr>
        <w:spacing w:after="120" w:line="283" w:lineRule="auto"/>
      </w:pPr>
      <w:r>
        <w:t>将EDA比作“图纸”有一定直觉价值，但仍然过于简化。更准确地说，EDA同时接近编译器、自动测试系统、工程仿真平台、性能分析器和物理设计工具。</w:t>
      </w:r>
    </w:p>
    <w:p>
      <w:pPr>
        <w:spacing w:after="120" w:line="283" w:lineRule="auto"/>
      </w:pPr>
      <w:r>
        <w:t>芯片公司先决定芯片应该完成什么任务：如何分配CPU、GPU、NPU、缓存、内存控制器、互联和专用计算模块；再使用硬件描述语言表达逻辑。EDA负责把这些逻辑逐步转化为门级电路、布局布线和最终可制造的版图，并反复验证时序、功耗、面积和工艺规则。</w:t>
      </w:r>
    </w:p>
    <w:p>
      <w:pPr>
        <w:spacing w:after="120" w:line="283" w:lineRule="auto"/>
      </w:pPr>
      <w:r>
        <w:t>因此，EDA不负责替企业发明市场需求，也不直接决定芯片的产品方向；它的关键价值，是把架构意图翻译成一个真实可制造、可验证、可量产的物理对象。</w:t>
      </w:r>
    </w:p>
    <w:p>
      <w:pPr>
        <w:pStyle w:val="Heading1"/>
      </w:pPr>
      <w:r>
        <w:t>三、Fabless到底创造了什么</w:t>
      </w:r>
    </w:p>
    <w:p>
      <w:pPr>
        <w:spacing w:after="120" w:line="283" w:lineRule="auto"/>
      </w:pPr>
      <w:r>
        <w:t>Fabless公司的真正作用，不只是“在EDA里排列晶体管”。它们位于市场需求与制造能力之间，把用户、软件和系统层面的目标翻译成芯片架构。</w:t>
      </w:r>
    </w:p>
    <w:p>
      <w:pPr>
        <w:spacing w:after="120" w:line="283" w:lineRule="auto"/>
      </w:pPr>
      <w:r>
        <w:t>例如，用户不会提出“请加入某种缓存一致性协议”或“请改变片上网络拓扑”。用户只会感受到游戏不够流畅、AI推理太慢、手机发热或电池不够耐用。芯片设计公司需要把这些模糊需求转化为明确的性能、功耗、面积、成本和上市时间目标，再决定晶体管预算如何被组织。</w:t>
      </w:r>
    </w:p>
    <w:p>
      <w:pPr>
        <w:spacing w:after="120" w:line="283" w:lineRule="auto"/>
      </w:pPr>
      <w:r>
        <w:t>这类创新可以发生在CPU/GPU架构、专用加速器、缓存层级、低精度计算、高速互联、Chiplet、软件硬件协同和系统扩展方式上。即使使用同一制程，不同设计仍可能产生明显不同的能效和实际性能。</w:t>
      </w:r>
    </w:p>
    <w:p>
      <w:pPr>
        <w:pStyle w:val="Heading1"/>
      </w:pPr>
      <w:r>
        <w:t>四、但“芯片公司很牛”有时确实是一个难以验证的归因命题</w:t>
      </w:r>
    </w:p>
    <w:p>
      <w:pPr>
        <w:spacing w:after="120" w:line="283" w:lineRule="auto"/>
      </w:pPr>
      <w:r>
        <w:t>普通用户看到新一代芯片性能提高，却很难判断提升究竟来自哪里。它可能来自更先进的制程、更多晶体管、更大的缓存、更激进的功耗、更好的封装、更快的内存，也可能来自真正的架构改进和软件优化。</w:t>
      </w:r>
    </w:p>
    <w:p>
      <w:pPr>
        <w:spacing w:after="120" w:line="283" w:lineRule="auto"/>
      </w:pPr>
      <w:r>
        <w:t>因此，Fabless确实可能把晶圆厂、设备商、材料商和封装体系共同创造的性能红利，包装为自己的产品升级。消费者看到的是苹果、高通、英伟达或华为的品牌，而不是背后的光刻、制程、材料和封装创新。</w:t>
      </w:r>
    </w:p>
    <w:p>
      <w:pPr>
        <w:spacing w:after="120" w:line="283" w:lineRule="auto"/>
      </w:pPr>
      <w:r>
        <w:t>从价值分配角度看，设计公司有时获得的并不只是“自己的架构创新收益”，还包括它对上游技术进步的整合、命名、产品化和市场化收益。这也是为什么“技术贡献”和“价值获取”不能被视为同一件事。</w:t>
      </w:r>
    </w:p>
    <w:p>
      <w:pPr>
        <w:pStyle w:val="PullQuote"/>
      </w:pPr>
      <w:r>
        <w:t>谁真正推动了技术进步，和谁最终赚到了这笔钱，并不一定是同一个主体。</w:t>
      </w:r>
    </w:p>
    <w:p>
      <w:pPr>
        <w:pStyle w:val="Heading1"/>
      </w:pPr>
      <w:r>
        <w:t>五、Fabless是不是一种中介</w:t>
      </w:r>
    </w:p>
    <w:p>
      <w:pPr>
        <w:spacing w:after="120" w:line="283" w:lineRule="auto"/>
      </w:pPr>
      <w:r>
        <w:t>从结构上看，Fabless确实处在市场和制造之间，具有中介性质。但它不是纯粹撮合交易的普通中介，而是“产品定义与资源配置层”。</w:t>
      </w:r>
    </w:p>
    <w:p>
      <w:pPr>
        <w:spacing w:after="120" w:line="283" w:lineRule="auto"/>
      </w:pPr>
      <w:r>
        <w:t>晶圆厂提供的是可制造的物理边界：晶体管、互连、工艺规则和封装能力。Fabless决定的是，在这些边界内应该制造怎样的计算系统，以及它应当服务哪些客户、软件和应用。</w:t>
      </w:r>
    </w:p>
    <w:p>
      <w:pPr>
        <w:spacing w:after="120" w:line="283" w:lineRule="auto"/>
      </w:pPr>
      <w:r>
        <w:t>所以Fabless的价值并非天然等于“伟大创新”。有些代际主要依靠制程红利，有些代际则出现显著的架构或系统突破。更准确的判断不是把它一概视为创新者或中介，而是分析它在某一代产品中究竟完成了多少独立的架构创新，又捕获了多少来自上游的技术红利。</w:t>
      </w:r>
    </w:p>
    <w:p>
      <w:pPr>
        <w:pStyle w:val="Heading1"/>
      </w:pPr>
      <w:r>
        <w:t>六、为什么SK海力士这类企业给人“更接近真正实验”的感觉</w:t>
      </w:r>
    </w:p>
    <w:p>
      <w:pPr>
        <w:spacing w:after="120" w:line="283" w:lineRule="auto"/>
      </w:pPr>
      <w:r>
        <w:t>SK海力士这类存储器IDM同时掌握设计、器件、制造、堆叠、封装和测试，因此可以建立从物理实验到量产的纵向反馈闭环。它不仅能改变电路设计，也能改变存储单元、制造步骤、TSV、晶圆减薄、堆叠方式、材料、散热和测试方法。</w:t>
      </w:r>
    </w:p>
    <w:p>
      <w:pPr>
        <w:spacing w:after="120" w:line="283" w:lineRule="auto"/>
      </w:pPr>
      <w:r>
        <w:t>这使它更容易在器件和工艺层进行反复实验：设计一种结构、在产线上试制、测量速度与良率、修改制造方法，再次试验。相比之下，纯Fabless必须在晶圆厂提供的工艺规则内进行设计，无法单独改变所有物理制造条件。</w:t>
      </w:r>
    </w:p>
    <w:p>
      <w:pPr>
        <w:spacing w:after="120" w:line="283" w:lineRule="auto"/>
      </w:pPr>
      <w:r>
        <w:t>但这不意味着IDM一定比Fabless更“革命”。两者的革命发生在不同层级：IDM更容易在器件、材料和制造闭环中创新；Fabless与系统公司更容易在架构、软件、互联和应用定义中创新。</w:t>
      </w:r>
    </w:p>
    <w:p>
      <w:pPr>
        <w:pStyle w:val="Heading1"/>
      </w:pPr>
      <w:r>
        <w:t>七、摩尔定律与成熟终端：为什么手机越来越像“工程改良”</w:t>
      </w:r>
    </w:p>
    <w:p>
      <w:pPr>
        <w:spacing w:after="120" w:line="283" w:lineRule="auto"/>
      </w:pPr>
      <w:r>
        <w:t>在手机这样的成熟产品中，用户可感知的功能范式已经相对稳定。制程进步带来更多晶体管和更好的能效，但这些资源往往被用于更强的图像处理、游戏、AI、通信、安全和省电，而不是创造一种完全陌生的终端功能。</w:t>
      </w:r>
    </w:p>
    <w:p>
      <w:pPr>
        <w:spacing w:after="120" w:line="283" w:lineRule="auto"/>
      </w:pPr>
      <w:r>
        <w:t>因此，即使底层工程持续进步，消费者也可能只感受到“更快一点、更省电一点、更稳一点”。这会强化一种合理怀疑：如果没有摩尔定律和制造工艺的推进，手机芯片设计公司是否还能每年持续制造明显升级？答案是可以优化，但空间会更受限，而且创新会更多转向架构、封装、Chiplet、软件协同和系统设计。</w:t>
      </w:r>
    </w:p>
    <w:p>
      <w:pPr>
        <w:pStyle w:val="Heading1"/>
      </w:pPr>
      <w:r>
        <w:t>八、最终结论：半导体进步是一种分层共创，但功劳和利润并不平均</w:t>
      </w:r>
    </w:p>
    <w:p>
      <w:pPr>
        <w:spacing w:after="120" w:line="283" w:lineRule="auto"/>
      </w:pPr>
      <w:r>
        <w:t>一颗芯片的进步通常由多层共同创造：设备和材料企业扩展物理可能性；晶圆厂把这些可能性变成稳定制程；EDA把设计意图与制造规则连接起来；Fabless定义产品和架构；封装与存储企业解决带宽、互联和热问题；系统与软件企业把芯片转化为真实能力；市场需求再反向决定下一轮投资。</w:t>
      </w:r>
    </w:p>
    <w:p>
      <w:pPr>
        <w:spacing w:after="120" w:line="283" w:lineRule="auto"/>
      </w:pPr>
      <w:r>
        <w:t>因此，不能简单地说“设计公司只是在吃台积电红利”，也不能接受“所有性能提升都是设计公司自身创新”的品牌叙事。更有解释力的分析方式，是把每一代产品拆成不同贡献来源，并区分技术创造、资源整合、市场定义和价值捕获。</w:t>
      </w:r>
    </w:p>
    <w:p>
      <w:pPr>
        <w:pStyle w:val="Heading2"/>
      </w:pPr>
      <w:r>
        <w:t>分析一家公司时可以追问的五个问题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EAEAEA"/>
          </w:tcPr>
          <w:p>
            <w:r>
              <w:t>问题</w:t>
            </w:r>
          </w:p>
        </w:tc>
        <w:tc>
          <w:tcPr>
            <w:tcW w:type="dxa" w:w="4929"/>
            <w:shd w:fill="EAEAEA"/>
          </w:tcPr>
          <w:p>
            <w:r>
              <w:t>所揭示的能力</w:t>
            </w:r>
          </w:p>
        </w:tc>
      </w:tr>
      <w:tr>
        <w:tc>
          <w:tcPr>
            <w:tcW w:type="dxa" w:w="4929"/>
            <w:vAlign w:val="center"/>
          </w:tcPr>
          <w:p>
            <w:r>
              <w:t>它控制了哪个实验闭环？</w:t>
            </w:r>
          </w:p>
        </w:tc>
        <w:tc>
          <w:tcPr>
            <w:tcW w:type="dxa" w:w="4929"/>
            <w:vAlign w:val="center"/>
          </w:tcPr>
          <w:p>
            <w:r>
              <w:t>架构、制造、封装、软件或市场反馈</w:t>
            </w:r>
          </w:p>
        </w:tc>
      </w:tr>
      <w:tr>
        <w:tc>
          <w:tcPr>
            <w:tcW w:type="dxa" w:w="4929"/>
            <w:vAlign w:val="center"/>
          </w:tcPr>
          <w:p>
            <w:r>
              <w:t>性能提升主要来自哪里？</w:t>
            </w:r>
          </w:p>
        </w:tc>
        <w:tc>
          <w:tcPr>
            <w:tcW w:type="dxa" w:w="4929"/>
            <w:vAlign w:val="center"/>
          </w:tcPr>
          <w:p>
            <w:r>
              <w:t>制程、架构、存储、封装、软件或功耗</w:t>
            </w:r>
          </w:p>
        </w:tc>
      </w:tr>
      <w:tr>
        <w:tc>
          <w:tcPr>
            <w:tcW w:type="dxa" w:w="4929"/>
            <w:vAlign w:val="center"/>
          </w:tcPr>
          <w:p>
            <w:r>
              <w:t>它能否脱离关键伙伴独立实现？</w:t>
            </w:r>
          </w:p>
        </w:tc>
        <w:tc>
          <w:tcPr>
            <w:tcW w:type="dxa" w:w="4929"/>
            <w:vAlign w:val="center"/>
          </w:tcPr>
          <w:p>
            <w:r>
              <w:t>真实不可替代性与依赖关系</w:t>
            </w:r>
          </w:p>
        </w:tc>
      </w:tr>
      <w:tr>
        <w:tc>
          <w:tcPr>
            <w:tcW w:type="dxa" w:w="4929"/>
            <w:vAlign w:val="center"/>
          </w:tcPr>
          <w:p>
            <w:r>
              <w:t>它如何获得利润？</w:t>
            </w:r>
          </w:p>
        </w:tc>
        <w:tc>
          <w:tcPr>
            <w:tcW w:type="dxa" w:w="4929"/>
            <w:vAlign w:val="center"/>
          </w:tcPr>
          <w:p>
            <w:r>
              <w:t>制造收费、产品销售、IP、平台、品牌或生态锁定</w:t>
            </w:r>
          </w:p>
        </w:tc>
      </w:tr>
      <w:tr>
        <w:tc>
          <w:tcPr>
            <w:tcW w:type="dxa" w:w="4929"/>
            <w:vAlign w:val="center"/>
          </w:tcPr>
          <w:p>
            <w:r>
              <w:t>它获取的价值是否超过自身技术贡献？</w:t>
            </w:r>
          </w:p>
        </w:tc>
        <w:tc>
          <w:tcPr>
            <w:tcW w:type="dxa" w:w="4929"/>
            <w:vAlign w:val="center"/>
          </w:tcPr>
          <w:p>
            <w:r>
              <w:t>价值创造与价值捕获是否错位</w:t>
            </w:r>
          </w:p>
        </w:tc>
      </w:tr>
    </w:tbl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llQuote">
    <w:name w:val="Pull Quote"/>
    <w:pPr>
      <w:spacing w:before="160" w:after="160"/>
      <w:ind w:left="397" w:right="397"/>
    </w:pPr>
    <w:rPr>
      <w:rFonts w:ascii="Arial" w:hAnsi="Arial" w:eastAsia="Noto Serif CJK SC"/>
      <w:i/>
      <w:color w:val="4646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