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3F43B5"/>
          <w:spacing w:val="40"/>
          <w:sz w:val="20"/>
          <w:szCs w:val="20"/>
        </w:rPr>
        <w:t xml:space="preserve">DOKUMENT WYMAGAŃ PRODUKTOWYCH (PRD)</w:t>
      </w:r>
    </w:p>
    <w:p>
      <w:pPr>
        <w:spacing w:after="240"/>
      </w:pPr>
      <w:r>
        <w:rPr>
          <w:b/>
          <w:bCs/>
          <w:sz w:val="52"/>
          <w:szCs w:val="52"/>
        </w:rPr>
        <w:t xml:space="preserve">Symulator budżetu marketingowego i ROI</w:t>
      </w:r>
    </w:p>
    <w:p>
      <w:pPr>
        <w:pBdr>
          <w:bottom w:val="single" w:color="3F43B5" w:sz="12" w:space="8"/>
        </w:pBdr>
        <w:spacing w:after="360"/>
      </w:pPr>
      <w:r>
        <w:rPr>
          <w:color w:val="5B6275"/>
          <w:sz w:val="24"/>
          <w:szCs w:val="24"/>
        </w:rPr>
        <w:t xml:space="preserve">Aplikacja internetowa do planowania podziału rocznego budżetu między kanały marketingowe i porównywania wariantów pod kątem zwrotu z inwestycji.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Wersja</w:t>
            </w:r>
          </w:p>
        </w:tc>
        <w:tc>
          <w:tcPr>
            <w:tcW w:type="dxa" w:w="70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70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Zatwierdzony do realizacji (MVP zrealizowane)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Data</w:t>
            </w:r>
          </w:p>
        </w:tc>
        <w:tc>
          <w:tcPr>
            <w:tcW w:type="dxa" w:w="70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11 października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Właściciel produktu</w:t>
            </w:r>
          </w:p>
        </w:tc>
        <w:tc>
          <w:tcPr>
            <w:tcW w:type="dxa" w:w="70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[do uzupełnienia]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Interesariusze</w:t>
            </w:r>
          </w:p>
        </w:tc>
        <w:tc>
          <w:tcPr>
            <w:tcW w:type="dxa" w:w="70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Prowadzący zajęcia (Akademia Leona Koźmińskiego), uczestnicy ćwiczenia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Repozytorium</w:t>
            </w:r>
          </w:p>
        </w:tc>
        <w:tc>
          <w:tcPr>
            <w:tcW w:type="dxa" w:w="70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github.com/tomaleszczynski-lgtm/test2</w:t>
            </w:r>
          </w:p>
        </w:tc>
      </w:tr>
    </w:tbl>
    <w:p>
      <w:pPr>
        <w:spacing w:after="120" w:before="360"/>
      </w:pPr>
      <w:r>
        <w:rPr>
          <w:b/>
          <w:bCs/>
          <w:sz w:val="24"/>
          <w:szCs w:val="24"/>
        </w:rPr>
        <w:t xml:space="preserve">Historia zmian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2200"/>
        <w:gridCol w:w="4838"/>
      </w:tblGrid>
      <w:tr>
        <w:trPr>
          <w:tblHeader/>
        </w:trPr>
        <w:tc>
          <w:tcPr>
            <w:tcW w:type="dxa" w:w="11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E9EA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Wersja</w:t>
            </w:r>
          </w:p>
        </w:tc>
        <w:tc>
          <w:tcPr>
            <w:tcW w:type="dxa" w:w="15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E9EA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E9EA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Autor</w:t>
            </w:r>
          </w:p>
        </w:tc>
        <w:tc>
          <w:tcPr>
            <w:tcW w:type="dxa" w:w="48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E9EA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Opis zmian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0.1</w:t>
            </w:r>
          </w:p>
        </w:tc>
        <w:tc>
          <w:tcPr>
            <w:tcW w:type="dxa" w:w="15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11.10.2026</w:t>
            </w:r>
          </w:p>
        </w:tc>
        <w:tc>
          <w:tcPr>
            <w:tcW w:type="dxa" w:w="22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[do uzupełnienia]</w:t>
            </w:r>
          </w:p>
        </w:tc>
        <w:tc>
          <w:tcPr>
            <w:tcW w:type="dxa" w:w="48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Szkic na podstawie treści ćwiczenia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15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11.10.2026</w:t>
            </w:r>
          </w:p>
        </w:tc>
        <w:tc>
          <w:tcPr>
            <w:tcW w:type="dxa" w:w="22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[do uzupełnienia]</w:t>
            </w:r>
          </w:p>
        </w:tc>
        <w:tc>
          <w:tcPr>
            <w:tcW w:type="dxa" w:w="48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Uzgodnione założenia: model ROI netto, twarda walidacja sumy 100%, porównanie dwóch wariantów, stos HTML/JS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sz w:val="32"/>
          <w:szCs w:val="32"/>
        </w:rPr>
        <w:t xml:space="preserve">Spis treści</w:t>
      </w:r>
    </w:p>
    <w:sdt>
      <w:sdtPr>
        <w:alias w:val="Spis treśc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Streszczenie</w:t>
      </w:r>
    </w:p>
    <w:p>
      <w:pPr>
        <w:spacing w:after="120" w:line="288"/>
      </w:pPr>
      <w:r>
        <w:t xml:space="preserve">Symulator pozwala w kilka minut sprawdzić, jaki zwrot przyniesie planowany podział rocznego budżetu marketingowego. Użytkownik podaje budżet, dzieli go procentowo między kategorie (np. social media, WWW, radio) i dla każdej określa oczekiwany ROI. Aplikacja na bieżąco liczy kwoty, zysk, przychód i całkowity ROI, a także porównuje dwa warianty podziału i wskazuje korzystniejszy.</w:t>
      </w:r>
    </w:p>
    <w:p>
      <w:pPr>
        <w:pStyle w:val="Heading1"/>
      </w:pPr>
      <w:r>
        <w:t xml:space="preserve">2. Problem i kontekst</w:t>
      </w:r>
    </w:p>
    <w:p>
      <w:pPr>
        <w:pStyle w:val="Heading2"/>
      </w:pPr>
      <w:r>
        <w:t xml:space="preserve">2.1. Problem</w:t>
      </w:r>
    </w:p>
    <w:p>
      <w:pPr>
        <w:spacing w:after="120" w:line="288"/>
      </w:pPr>
      <w:r>
        <w:t xml:space="preserve">Planowanie budżetu marketingowego zwykle odbywa się w arkuszach kalkulacyjnych. Przy kilku kanałach i różnych oczekiwanych stopach zwrotu łatwo o błąd: udziały nie sumują się do 100%, formuły są niespójne, a porównanie dwóch scenariuszy wymaga ręcznego kopiowania danych.</w:t>
      </w:r>
    </w:p>
    <w:p>
      <w:pPr>
        <w:pStyle w:val="Heading2"/>
      </w:pPr>
      <w:r>
        <w:t xml:space="preserve">2.2. Kontekst</w:t>
      </w:r>
    </w:p>
    <w:p>
      <w:pPr>
        <w:spacing w:after="120" w:line="288"/>
      </w:pPr>
      <w:r>
        <w:t xml:space="preserve">Produkt powstaje jako ćwiczenie dydaktyczne „Symulator budżetu i ROI” realizowane metodą PRD-first: najpierw dokument wymagań, następnie implementacja zgodna z dokumentem. Zakres podstawowy i funkcje dodatkowe („dla chętnych”: wykres, zapisywanie scenariuszy, porównanie dwóch wariantów) wynikają z treści ćwiczenia.</w:t>
      </w:r>
    </w:p>
    <w:p>
      <w:pPr>
        <w:pStyle w:val="Heading1"/>
      </w:pPr>
      <w:r>
        <w:t xml:space="preserve">3. Cele i miary sukcesu</w:t>
      </w:r>
    </w:p>
    <w:p>
      <w:pPr>
        <w:pStyle w:val="Heading2"/>
      </w:pPr>
      <w:r>
        <w:t xml:space="preserve">3.1. Cele produktu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Umożliwić policzenie całkowitego zwrotu z inwestycji dla dowolnego podziału budżetu.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Wyeliminować błędy wynikające z udziałów niesumujących się do 100%.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Ułatwić decyzję między dwoma wariantami podziału budżetu.</w:t>
      </w:r>
    </w:p>
    <w:p>
      <w:pPr>
        <w:pStyle w:val="Heading2"/>
      </w:pPr>
      <w:r>
        <w:t xml:space="preserve">3.2. Miary sukcesu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38"/>
        <w:gridCol w:w="3500"/>
      </w:tblGrid>
      <w:tr>
        <w:trPr>
          <w:tblHeader/>
        </w:trPr>
        <w:tc>
          <w:tcPr>
            <w:tcW w:type="dxa" w:w="30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E9EA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Miara</w:t>
            </w:r>
          </w:p>
        </w:tc>
        <w:tc>
          <w:tcPr>
            <w:tcW w:type="dxa" w:w="31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E9EA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Cel</w:t>
            </w:r>
          </w:p>
        </w:tc>
        <w:tc>
          <w:tcPr>
            <w:tcW w:type="dxa" w:w="35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E9EA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Sposób weryfikacji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Poprawność obliczeń</w:t>
            </w:r>
          </w:p>
        </w:tc>
        <w:tc>
          <w:tcPr>
            <w:tcW w:type="dxa" w:w="31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100% zgodności z przypadkami testowymi</w:t>
            </w:r>
          </w:p>
        </w:tc>
        <w:tc>
          <w:tcPr>
            <w:tcW w:type="dxa" w:w="35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Automatyczne testy jednostkowe (node --test)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Czas do pierwszego wyniku</w:t>
            </w:r>
          </w:p>
        </w:tc>
        <w:tc>
          <w:tcPr>
            <w:tcW w:type="dxa" w:w="31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&lt; 2 min od otwarcia aplikacji</w:t>
            </w:r>
          </w:p>
        </w:tc>
        <w:tc>
          <w:tcPr>
            <w:tcW w:type="dxa" w:w="35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 z użytkownikiem na danych przykładowych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Czas reakcji na zmianę danych</w:t>
            </w:r>
          </w:p>
        </w:tc>
        <w:tc>
          <w:tcPr>
            <w:tcW w:type="dxa" w:w="31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&lt; 100 ms</w:t>
            </w:r>
          </w:p>
        </w:tc>
        <w:tc>
          <w:tcPr>
            <w:tcW w:type="dxa" w:w="35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Pomiar w przeglądarce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Wynik przy niepoprawnych danych</w:t>
            </w:r>
          </w:p>
        </w:tc>
        <w:tc>
          <w:tcPr>
            <w:tcW w:type="dxa" w:w="31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0 przypadków pokazania wyniku przy sumie ≠ 100%</w:t>
            </w:r>
          </w:p>
        </w:tc>
        <w:tc>
          <w:tcPr>
            <w:tcW w:type="dxa" w:w="35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Testy jednostkowe i test end-to-end</w:t>
            </w:r>
          </w:p>
        </w:tc>
      </w:tr>
    </w:tbl>
    <w:p>
      <w:pPr>
        <w:pStyle w:val="Heading1"/>
      </w:pPr>
      <w:r>
        <w:t xml:space="preserve">4. Użytkownicy</w:t>
      </w:r>
    </w:p>
    <w:p>
      <w:pPr>
        <w:pStyle w:val="Heading2"/>
      </w:pPr>
      <w:r>
        <w:t xml:space="preserve">4.1. Persona główna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Kto</w:t>
            </w:r>
          </w:p>
        </w:tc>
        <w:tc>
          <w:tcPr>
            <w:tcW w:type="dxa" w:w="70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Marketer, właściciel małej firmy lub student marketingu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Potrzeba</w:t>
            </w:r>
          </w:p>
        </w:tc>
        <w:tc>
          <w:tcPr>
            <w:tcW w:type="dxa" w:w="70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Szybko sprawdzić, który podział budżetu da najwyższy zwrot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Kontekst użycia</w:t>
            </w:r>
          </w:p>
        </w:tc>
        <w:tc>
          <w:tcPr>
            <w:tcW w:type="dxa" w:w="70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Przeglądarka na komputerze lub telefonie, bez instalacji i logowania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Kompetencje</w:t>
            </w:r>
          </w:p>
        </w:tc>
        <w:tc>
          <w:tcPr>
            <w:tcW w:type="dxa" w:w="70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Rozumie pojęcie ROI; nie musi znać arkuszy kalkulacyjnych</w:t>
            </w:r>
          </w:p>
        </w:tc>
      </w:tr>
    </w:tbl>
    <w:p>
      <w:pPr>
        <w:pStyle w:val="Heading2"/>
      </w:pPr>
      <w:r>
        <w:t xml:space="preserve">4.2. Historyjki użytkownika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3700"/>
        <w:gridCol w:w="3238"/>
      </w:tblGrid>
      <w:tr>
        <w:trPr>
          <w:tblHeader/>
        </w:trPr>
        <w:tc>
          <w:tcPr>
            <w:tcW w:type="dxa" w:w="8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E9EA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E9EA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Jako…</w:t>
            </w:r>
          </w:p>
        </w:tc>
        <w:tc>
          <w:tcPr>
            <w:tcW w:type="dxa" w:w="37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E9EA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chcę…</w:t>
            </w:r>
          </w:p>
        </w:tc>
        <w:tc>
          <w:tcPr>
            <w:tcW w:type="dxa" w:w="32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E9EA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aby…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US-1</w:t>
            </w:r>
          </w:p>
        </w:tc>
        <w:tc>
          <w:tcPr>
            <w:tcW w:type="dxa" w:w="19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planujący budżet</w:t>
            </w:r>
          </w:p>
        </w:tc>
        <w:tc>
          <w:tcPr>
            <w:tcW w:type="dxa" w:w="37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podać roczny budżet i podzielić go procentowo między kategorie</w:t>
            </w:r>
          </w:p>
        </w:tc>
        <w:tc>
          <w:tcPr>
            <w:tcW w:type="dxa" w:w="32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wiedzieć, ile pieniędzy trafi do każdego kanału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US-2</w:t>
            </w:r>
          </w:p>
        </w:tc>
        <w:tc>
          <w:tcPr>
            <w:tcW w:type="dxa" w:w="19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planujący budżet</w:t>
            </w:r>
          </w:p>
        </w:tc>
        <w:tc>
          <w:tcPr>
            <w:tcW w:type="dxa" w:w="37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określić oczekiwany ROI dla każdej kategorii</w:t>
            </w:r>
          </w:p>
        </w:tc>
        <w:tc>
          <w:tcPr>
            <w:tcW w:type="dxa" w:w="32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oszacować zwrot z każdego kanału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US-3</w:t>
            </w:r>
          </w:p>
        </w:tc>
        <w:tc>
          <w:tcPr>
            <w:tcW w:type="dxa" w:w="19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planujący budżet</w:t>
            </w:r>
          </w:p>
        </w:tc>
        <w:tc>
          <w:tcPr>
            <w:tcW w:type="dxa" w:w="37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zobaczyć całkowity zysk, przychód i ROI</w:t>
            </w:r>
          </w:p>
        </w:tc>
        <w:tc>
          <w:tcPr>
            <w:tcW w:type="dxa" w:w="32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ocenić opłacalność całego planu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US-4</w:t>
            </w:r>
          </w:p>
        </w:tc>
        <w:tc>
          <w:tcPr>
            <w:tcW w:type="dxa" w:w="19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planujący budżet</w:t>
            </w:r>
          </w:p>
        </w:tc>
        <w:tc>
          <w:tcPr>
            <w:tcW w:type="dxa" w:w="37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być ostrzeżonym, gdy udziały nie sumują się do 100%</w:t>
            </w:r>
          </w:p>
        </w:tc>
        <w:tc>
          <w:tcPr>
            <w:tcW w:type="dxa" w:w="32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nie podejmować decyzji na podstawie błędnych danych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US-5</w:t>
            </w:r>
          </w:p>
        </w:tc>
        <w:tc>
          <w:tcPr>
            <w:tcW w:type="dxa" w:w="19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decydent</w:t>
            </w:r>
          </w:p>
        </w:tc>
        <w:tc>
          <w:tcPr>
            <w:tcW w:type="dxa" w:w="37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porównać dwa warianty podziału</w:t>
            </w:r>
          </w:p>
        </w:tc>
        <w:tc>
          <w:tcPr>
            <w:tcW w:type="dxa" w:w="32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wybrać korzystniejszy</w:t>
            </w:r>
          </w:p>
        </w:tc>
      </w:tr>
    </w:tbl>
    <w:p>
      <w:pPr>
        <w:pStyle w:val="Heading1"/>
      </w:pPr>
      <w:r>
        <w:t xml:space="preserve">5. Zakres</w:t>
      </w:r>
    </w:p>
    <w:p>
      <w:pPr>
        <w:pStyle w:val="Heading2"/>
      </w:pPr>
      <w:r>
        <w:t xml:space="preserve">5.1. W zakresie (MVP)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Wprowadzanie rocznego budżetu i kategorii z udziałem % oraz oczekiwanym ROI %.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Walidacja danych, w tym wymóg sumy udziałów równej 100%.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Wynik per kategoria i łącznie, aktualizowany na bieżąco.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Dwa warianty (A i B) i ich porównanie.</w:t>
      </w:r>
    </w:p>
    <w:p>
      <w:pPr>
        <w:pStyle w:val="Heading2"/>
      </w:pPr>
      <w:r>
        <w:t xml:space="preserve">5.2. Poza zakresem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Wykres, zapisywanie i wczytywanie scenariuszy, eksport danych (kandydaci do kolejnej wersji).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Konta użytkowników, backend, współdzielenie danych.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Rozkład zwrotu w czasie, inflacja, podatki, koszt kapitału.</w:t>
      </w:r>
    </w:p>
    <w:p>
      <w:pPr>
        <w:pStyle w:val="Heading1"/>
      </w:pPr>
      <w:r>
        <w:t xml:space="preserve">6. Wymagania funkcjonalne</w:t>
      </w:r>
    </w:p>
    <w:p>
      <w:pPr>
        <w:spacing w:after="120" w:line="288"/>
      </w:pPr>
      <w:r>
        <w:rPr>
          <w:i/>
          <w:iCs/>
          <w:color w:val="5B6275"/>
          <w:sz w:val="20"/>
          <w:szCs w:val="20"/>
        </w:rPr>
        <w:t xml:space="preserve">Priorytety według metody MoSCoW: M – must have, S – should have, C – could have.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700"/>
        <w:gridCol w:w="5938"/>
      </w:tblGrid>
      <w:tr>
        <w:trPr>
          <w:tblHeader/>
        </w:trPr>
        <w:tc>
          <w:tcPr>
            <w:tcW w:type="dxa" w:w="7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E9EA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3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E9EA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Wymaganie</w:t>
            </w:r>
          </w:p>
        </w:tc>
        <w:tc>
          <w:tcPr>
            <w:tcW w:type="dxa" w:w="7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E9EA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Prio.</w:t>
            </w:r>
          </w:p>
        </w:tc>
        <w:tc>
          <w:tcPr>
            <w:tcW w:type="dxa" w:w="59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E9EA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Kryteria akceptacji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F1</w:t>
            </w:r>
          </w:p>
        </w:tc>
        <w:tc>
          <w:tcPr>
            <w:tcW w:type="dxa" w:w="23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Pole „Roczny budżet (PLN)”</w:t>
            </w:r>
          </w:p>
        </w:tc>
        <w:tc>
          <w:tcPr>
            <w:tcW w:type="dxa" w:w="7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59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Akceptuje liczby &gt; 0, także z przecinkiem dziesiętnym i spacjami. Wartość pusta, 0 lub ujemna blokuje wynik i wyświetla komunikat.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F2</w:t>
            </w:r>
          </w:p>
        </w:tc>
        <w:tc>
          <w:tcPr>
            <w:tcW w:type="dxa" w:w="23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 kategorii z edycją</w:t>
            </w:r>
          </w:p>
        </w:tc>
        <w:tc>
          <w:tcPr>
            <w:tcW w:type="dxa" w:w="7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59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Domyślnie: Social media, WWW, Radio, TV, Prasa, Outdoor. Można zmienić nazwę, dodać i usunąć kategorię; zawsze pozostaje co najmniej jedna.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F3</w:t>
            </w:r>
          </w:p>
        </w:tc>
        <w:tc>
          <w:tcPr>
            <w:tcW w:type="dxa" w:w="23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Udział % budżetu dla kategorii</w:t>
            </w:r>
          </w:p>
        </w:tc>
        <w:tc>
          <w:tcPr>
            <w:tcW w:type="dxa" w:w="7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59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Zakres 0–100, dopuszczalne ułamki. Obok widoczna wyliczona kwota w PLN.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F4</w:t>
            </w:r>
          </w:p>
        </w:tc>
        <w:tc>
          <w:tcPr>
            <w:tcW w:type="dxa" w:w="23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Oczekiwany ROI % dla kategorii</w:t>
            </w:r>
          </w:p>
        </w:tc>
        <w:tc>
          <w:tcPr>
            <w:tcW w:type="dxa" w:w="7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59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Wartość ≥ −100 (−100% oznacza utratę całej kwoty). Wartości ujemne są dozwolone.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F5</w:t>
            </w:r>
          </w:p>
        </w:tc>
        <w:tc>
          <w:tcPr>
            <w:tcW w:type="dxa" w:w="23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Walidacja sumy udziałów</w:t>
            </w:r>
          </w:p>
        </w:tc>
        <w:tc>
          <w:tcPr>
            <w:tcW w:type="dxa" w:w="7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59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Wskaźnik „Suma udziałów: X%”. Przy X ≠ 100% (tolerancja 0,001 pp) wynik jest ukryty, a komunikat podaje, ile pp brakuje lub o ile przekroczono 100%. Stan sygnalizowany kolorem i symbolem (✓/✗).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F6</w:t>
            </w:r>
          </w:p>
        </w:tc>
        <w:tc>
          <w:tcPr>
            <w:tcW w:type="dxa" w:w="23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Wynik wariantu</w:t>
            </w:r>
          </w:p>
        </w:tc>
        <w:tc>
          <w:tcPr>
            <w:tcW w:type="dxa" w:w="7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59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Na bieżąco, bez przycisku „Licz”: tabela per kategoria (kwota, ROI, zysk, przychód) oraz podsumowanie (zainwestowano, zysk, przychód, całkowity ROI).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F7</w:t>
            </w:r>
          </w:p>
        </w:tc>
        <w:tc>
          <w:tcPr>
            <w:tcW w:type="dxa" w:w="23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Dwa warianty: A i B</w:t>
            </w:r>
          </w:p>
        </w:tc>
        <w:tc>
          <w:tcPr>
            <w:tcW w:type="dxa" w:w="7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</w:t>
            </w:r>
          </w:p>
        </w:tc>
        <w:tc>
          <w:tcPr>
            <w:tcW w:type="dxa" w:w="59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Dwie zakładki z niezależnym budżetem i kategoriami.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F8</w:t>
            </w:r>
          </w:p>
        </w:tc>
        <w:tc>
          <w:tcPr>
            <w:tcW w:type="dxa" w:w="23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Kopiowanie wariantu</w:t>
            </w:r>
          </w:p>
        </w:tc>
        <w:tc>
          <w:tcPr>
            <w:tcW w:type="dxa" w:w="7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</w:t>
            </w:r>
          </w:p>
        </w:tc>
        <w:tc>
          <w:tcPr>
            <w:tcW w:type="dxa" w:w="59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Przycisk kopiuje bieżący wariant do drugiego, nadpisując go.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F9</w:t>
            </w:r>
          </w:p>
        </w:tc>
        <w:tc>
          <w:tcPr>
            <w:tcW w:type="dxa" w:w="23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Porównanie wariantów</w:t>
            </w:r>
          </w:p>
        </w:tc>
        <w:tc>
          <w:tcPr>
            <w:tcW w:type="dxa" w:w="7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</w:t>
            </w:r>
          </w:p>
        </w:tc>
        <w:tc>
          <w:tcPr>
            <w:tcW w:type="dxa" w:w="59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Tabela A, B i różnica (B − A) dla budżetu, zysku, przychodu i ROI (różnica ROI w pp). Wskazanie lepszego wariantu wg całkowitego zysku lub informacja o remisie. Gdy wariant jest niepoprawny, podany jest powód.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F10</w:t>
            </w:r>
          </w:p>
        </w:tc>
        <w:tc>
          <w:tcPr>
            <w:tcW w:type="dxa" w:w="23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Rozłóż równo</w:t>
            </w:r>
          </w:p>
        </w:tc>
        <w:tc>
          <w:tcPr>
            <w:tcW w:type="dxa" w:w="7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59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Dzieli 100% po równo między kategorie; reszta z zaokrągleń trafia do ostatniej kategorii, tak aby suma wynosiła dokładnie 100.</w:t>
            </w:r>
          </w:p>
        </w:tc>
      </w:tr>
    </w:tbl>
    <w:p>
      <w:pPr>
        <w:pStyle w:val="Heading1"/>
      </w:pPr>
      <w:r>
        <w:t xml:space="preserve">7. Model obliczeń</w:t>
      </w:r>
    </w:p>
    <w:p>
      <w:pPr>
        <w:spacing w:after="120" w:line="288"/>
      </w:pPr>
      <w:r>
        <w:t xml:space="preserve">Model zakłada ROI netto, czyli zwrot ponad zainwestowaną kwotę. Dla każdej kategorii i:</w:t>
      </w:r>
    </w:p>
    <w:p>
      <w:pPr>
        <w:spacing w:after="60" w:before="6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kwota_i    = budżet × udział_i / 100</w:t>
      </w:r>
    </w:p>
    <w:p>
      <w:pPr>
        <w:spacing w:after="60" w:before="6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zysk_i     = kwota_i × ROI_i / 100</w:t>
      </w:r>
    </w:p>
    <w:p>
      <w:pPr>
        <w:spacing w:after="60" w:before="6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przychód_i = kwota_i + zysk_i</w:t>
      </w:r>
    </w:p>
    <w:p>
      <w:pPr>
        <w:spacing w:after="120" w:line="288"/>
      </w:pPr>
      <w:r>
        <w:t xml:space="preserve">Dla całego wariantu:</w:t>
      </w:r>
    </w:p>
    <w:p>
      <w:pPr>
        <w:spacing w:after="60" w:before="6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zysk całkowity = Σ zysk_i</w:t>
      </w:r>
    </w:p>
    <w:p>
      <w:pPr>
        <w:spacing w:after="60" w:before="60"/>
        <w:ind w:left="567"/>
      </w:pPr>
      <w:r>
        <w:rPr>
          <w:rFonts w:ascii="Consolas" w:cs="Consolas" w:eastAsia="Consolas" w:hAnsi="Consolas"/>
          <w:sz w:val="20"/>
          <w:szCs w:val="20"/>
        </w:rPr>
        <w:t xml:space="preserve">ROI całkowity  = zysk całkowity / Σ kwota_i × 100%</w:t>
      </w:r>
    </w:p>
    <w:p>
      <w:pPr>
        <w:spacing w:after="120" w:line="288"/>
      </w:pPr>
      <w:r>
        <w:t xml:space="preserve">Całkowity ROI jest więc średnią ważoną ROI kategorii, gdzie wagą jest kwota. Lepszym wariantem jest ten o wyższym całkowitym zysku.</w:t>
      </w:r>
    </w:p>
    <w:p>
      <w:pPr>
        <w:pStyle w:val="Heading2"/>
      </w:pPr>
      <w:r>
        <w:t xml:space="preserve">7.1. Przykład referencyjny</w:t>
      </w:r>
    </w:p>
    <w:p>
      <w:pPr>
        <w:spacing w:after="120" w:line="288"/>
      </w:pPr>
      <w:r>
        <w:t xml:space="preserve">Budżet 100 000 PLN: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200"/>
        <w:gridCol w:w="1200"/>
        <w:gridCol w:w="1700"/>
        <w:gridCol w:w="17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E9EA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Kategoria</w:t>
            </w:r>
          </w:p>
        </w:tc>
        <w:tc>
          <w:tcPr>
            <w:tcW w:type="dxa" w:w="12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E9EA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Udział</w:t>
            </w:r>
          </w:p>
        </w:tc>
        <w:tc>
          <w:tcPr>
            <w:tcW w:type="dxa" w:w="12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E9EA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ROI</w:t>
            </w:r>
          </w:p>
        </w:tc>
        <w:tc>
          <w:tcPr>
            <w:tcW w:type="dxa" w:w="17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E9EA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Kwota</w:t>
            </w:r>
          </w:p>
        </w:tc>
        <w:tc>
          <w:tcPr>
            <w:tcW w:type="dxa" w:w="17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E9EA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Zysk</w:t>
            </w:r>
          </w:p>
        </w:tc>
        <w:tc>
          <w:tcPr>
            <w:tcW w:type="dxa" w:w="18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E9EA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Przychód</w:t>
            </w:r>
          </w:p>
        </w:tc>
      </w:tr>
      <w:tr>
        <w:trPr>
          <w:cantSplit/>
        </w:trPr>
        <w:tc>
          <w:tcPr>
            <w:tcW w:type="dxa" w:w="20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Social media</w:t>
            </w:r>
          </w:p>
        </w:tc>
        <w:tc>
          <w:tcPr>
            <w:tcW w:type="dxa" w:w="12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50%</w:t>
            </w:r>
          </w:p>
        </w:tc>
        <w:tc>
          <w:tcPr>
            <w:tcW w:type="dxa" w:w="12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40%</w:t>
            </w:r>
          </w:p>
        </w:tc>
        <w:tc>
          <w:tcPr>
            <w:tcW w:type="dxa" w:w="17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50 000 zł</w:t>
            </w:r>
          </w:p>
        </w:tc>
        <w:tc>
          <w:tcPr>
            <w:tcW w:type="dxa" w:w="17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20 000 zł</w:t>
            </w:r>
          </w:p>
        </w:tc>
        <w:tc>
          <w:tcPr>
            <w:tcW w:type="dxa" w:w="18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70 000 zł</w:t>
            </w:r>
          </w:p>
        </w:tc>
      </w:tr>
      <w:tr>
        <w:trPr>
          <w:cantSplit/>
        </w:trPr>
        <w:tc>
          <w:tcPr>
            <w:tcW w:type="dxa" w:w="20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WWW</w:t>
            </w:r>
          </w:p>
        </w:tc>
        <w:tc>
          <w:tcPr>
            <w:tcW w:type="dxa" w:w="12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30%</w:t>
            </w:r>
          </w:p>
        </w:tc>
        <w:tc>
          <w:tcPr>
            <w:tcW w:type="dxa" w:w="12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20%</w:t>
            </w:r>
          </w:p>
        </w:tc>
        <w:tc>
          <w:tcPr>
            <w:tcW w:type="dxa" w:w="17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30 000 zł</w:t>
            </w:r>
          </w:p>
        </w:tc>
        <w:tc>
          <w:tcPr>
            <w:tcW w:type="dxa" w:w="17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6 000 zł</w:t>
            </w:r>
          </w:p>
        </w:tc>
        <w:tc>
          <w:tcPr>
            <w:tcW w:type="dxa" w:w="18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36 000 zł</w:t>
            </w:r>
          </w:p>
        </w:tc>
      </w:tr>
      <w:tr>
        <w:trPr>
          <w:cantSplit/>
        </w:trPr>
        <w:tc>
          <w:tcPr>
            <w:tcW w:type="dxa" w:w="20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Radio</w:t>
            </w:r>
          </w:p>
        </w:tc>
        <w:tc>
          <w:tcPr>
            <w:tcW w:type="dxa" w:w="12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20%</w:t>
            </w:r>
          </w:p>
        </w:tc>
        <w:tc>
          <w:tcPr>
            <w:tcW w:type="dxa" w:w="12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−10%</w:t>
            </w:r>
          </w:p>
        </w:tc>
        <w:tc>
          <w:tcPr>
            <w:tcW w:type="dxa" w:w="17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20 000 zł</w:t>
            </w:r>
          </w:p>
        </w:tc>
        <w:tc>
          <w:tcPr>
            <w:tcW w:type="dxa" w:w="17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−2 000 zł</w:t>
            </w:r>
          </w:p>
        </w:tc>
        <w:tc>
          <w:tcPr>
            <w:tcW w:type="dxa" w:w="18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18 000 zł</w:t>
            </w:r>
          </w:p>
        </w:tc>
      </w:tr>
      <w:tr>
        <w:trPr>
          <w:cantSplit/>
        </w:trPr>
        <w:tc>
          <w:tcPr>
            <w:tcW w:type="dxa" w:w="20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Razem</w:t>
            </w:r>
          </w:p>
        </w:tc>
        <w:tc>
          <w:tcPr>
            <w:tcW w:type="dxa" w:w="12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24%</w:t>
            </w:r>
          </w:p>
        </w:tc>
        <w:tc>
          <w:tcPr>
            <w:tcW w:type="dxa" w:w="17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100 000 zł</w:t>
            </w:r>
          </w:p>
        </w:tc>
        <w:tc>
          <w:tcPr>
            <w:tcW w:type="dxa" w:w="17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24 000 zł</w:t>
            </w:r>
          </w:p>
        </w:tc>
        <w:tc>
          <w:tcPr>
            <w:tcW w:type="dxa" w:w="18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124 000 zł</w:t>
            </w:r>
          </w:p>
        </w:tc>
      </w:tr>
    </w:tbl>
    <w:p>
      <w:pPr>
        <w:pStyle w:val="Heading1"/>
      </w:pPr>
      <w:r>
        <w:t xml:space="preserve">8. Wymagania niefunkcjonalne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6538"/>
      </w:tblGrid>
      <w:tr>
        <w:trPr>
          <w:tblHeader/>
        </w:trPr>
        <w:tc>
          <w:tcPr>
            <w:tcW w:type="dxa" w:w="8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E9EA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3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E9EA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Obszar</w:t>
            </w:r>
          </w:p>
        </w:tc>
        <w:tc>
          <w:tcPr>
            <w:tcW w:type="dxa" w:w="65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E9EA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Wymaganie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NF1</w:t>
            </w:r>
          </w:p>
        </w:tc>
        <w:tc>
          <w:tcPr>
            <w:tcW w:type="dxa" w:w="23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Dostępność techniczna</w:t>
            </w:r>
          </w:p>
        </w:tc>
        <w:tc>
          <w:tcPr>
            <w:tcW w:type="dxa" w:w="65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Działa po otwarciu index.html w przeglądarce, bez serwera, instalacji i połączenia z internetem.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NF2</w:t>
            </w:r>
          </w:p>
        </w:tc>
        <w:tc>
          <w:tcPr>
            <w:tcW w:type="dxa" w:w="23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Responsywność</w:t>
            </w:r>
          </w:p>
        </w:tc>
        <w:tc>
          <w:tcPr>
            <w:tcW w:type="dxa" w:w="65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Pełna użyteczność od szerokości 360 px, bez poziomego przewijania strony.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NF3</w:t>
            </w:r>
          </w:p>
        </w:tc>
        <w:tc>
          <w:tcPr>
            <w:tcW w:type="dxa" w:w="23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Dostępność (a11y)</w:t>
            </w:r>
          </w:p>
        </w:tc>
        <w:tc>
          <w:tcPr>
            <w:tcW w:type="dxa" w:w="65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Etykiety dla wszystkich pól; komunikaty o błędach czytelne nie tylko dzięki kolorowi; obsługa klawiatury.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NF4</w:t>
            </w:r>
          </w:p>
        </w:tc>
        <w:tc>
          <w:tcPr>
            <w:tcW w:type="dxa" w:w="23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Lokalizacja</w:t>
            </w:r>
          </w:p>
        </w:tc>
        <w:tc>
          <w:tcPr>
            <w:tcW w:type="dxa" w:w="65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Interfejs po polsku, waluta PLN, format liczb pl-PL.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NF5</w:t>
            </w:r>
          </w:p>
        </w:tc>
        <w:tc>
          <w:tcPr>
            <w:tcW w:type="dxa" w:w="23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Wygląd</w:t>
            </w:r>
          </w:p>
        </w:tc>
        <w:tc>
          <w:tcPr>
            <w:tcW w:type="dxa" w:w="65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Jasny i ciemny motyw zgodny z ustawieniami systemu.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NF6</w:t>
            </w:r>
          </w:p>
        </w:tc>
        <w:tc>
          <w:tcPr>
            <w:tcW w:type="dxa" w:w="23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Jakość kodu</w:t>
            </w:r>
          </w:p>
        </w:tc>
        <w:tc>
          <w:tcPr>
            <w:tcW w:type="dxa" w:w="65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Logika obliczeń w osobnym module bez zależności od DOM, pokryta testami jednostkowymi.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NF7</w:t>
            </w:r>
          </w:p>
        </w:tc>
        <w:tc>
          <w:tcPr>
            <w:tcW w:type="dxa" w:w="23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Prywatność</w:t>
            </w:r>
          </w:p>
        </w:tc>
        <w:tc>
          <w:tcPr>
            <w:tcW w:type="dxa" w:w="65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Dane nie opuszczają przeglądarki użytkownika.</w:t>
            </w:r>
          </w:p>
        </w:tc>
      </w:tr>
    </w:tbl>
    <w:p>
      <w:pPr>
        <w:pStyle w:val="Heading1"/>
      </w:pPr>
      <w:r>
        <w:t xml:space="preserve">9. Przebieg korzystania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t xml:space="preserve">Użytkownik otwiera aplikację; widzi przykładowy wariant z budżetem 100 000 PLN i sześcioma kategoriami.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t xml:space="preserve">Wpisuje własny budżet, dostosowuje kategorie, udziały i ROI.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t xml:space="preserve">Na bieżąco widzi sumę udziałów; po osiągnięciu 100% pojawia się wynik.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t xml:space="preserve">Kopiuje wariant A do B, zmienia podział i odczytuje porównanie.</w:t>
      </w:r>
    </w:p>
    <w:p>
      <w:pPr>
        <w:pStyle w:val="Heading1"/>
      </w:pPr>
      <w:r>
        <w:t xml:space="preserve">10. Założenia i decyzje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438"/>
      </w:tblGrid>
      <w:tr>
        <w:trPr>
          <w:tblHeader/>
        </w:trPr>
        <w:tc>
          <w:tcPr>
            <w:tcW w:type="dxa" w:w="22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E9EA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Decyzja</w:t>
            </w:r>
          </w:p>
        </w:tc>
        <w:tc>
          <w:tcPr>
            <w:tcW w:type="dxa" w:w="30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E9EA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Wybrana opcja</w:t>
            </w:r>
          </w:p>
        </w:tc>
        <w:tc>
          <w:tcPr>
            <w:tcW w:type="dxa" w:w="44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E9EA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Uzasadnienie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 ROI</w:t>
            </w:r>
          </w:p>
        </w:tc>
        <w:tc>
          <w:tcPr>
            <w:tcW w:type="dxa" w:w="30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ROI netto</w:t>
            </w:r>
          </w:p>
        </w:tc>
        <w:tc>
          <w:tcPr>
            <w:tcW w:type="dxa" w:w="44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Standardowa definicja ROI = zysk netto / koszt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Suma udziałów</w:t>
            </w:r>
          </w:p>
        </w:tc>
        <w:tc>
          <w:tcPr>
            <w:tcW w:type="dxa" w:w="30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Musi wynosić dokładnie 100%</w:t>
            </w:r>
          </w:p>
        </w:tc>
        <w:tc>
          <w:tcPr>
            <w:tcW w:type="dxa" w:w="44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Wynik zawsze dotyczy całego budżetu; brak niejednoznaczności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Funkcje dodatkowe</w:t>
            </w:r>
          </w:p>
        </w:tc>
        <w:tc>
          <w:tcPr>
            <w:tcW w:type="dxa" w:w="30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Tylko porównanie dwóch wariantów</w:t>
            </w:r>
          </w:p>
        </w:tc>
        <w:tc>
          <w:tcPr>
            <w:tcW w:type="dxa" w:w="44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Największa wartość decyzyjna przy małym nakładzie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Technologia</w:t>
            </w:r>
          </w:p>
        </w:tc>
        <w:tc>
          <w:tcPr>
            <w:tcW w:type="dxa" w:w="30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HTML, CSS, czysty JavaScript</w:t>
            </w:r>
          </w:p>
        </w:tc>
        <w:tc>
          <w:tcPr>
            <w:tcW w:type="dxa" w:w="44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Brak budowania i zależności; łatwe uruchomienie na zajęciach</w:t>
            </w:r>
          </w:p>
        </w:tc>
      </w:tr>
    </w:tbl>
    <w:p>
      <w:pPr>
        <w:pStyle w:val="Heading1"/>
      </w:pPr>
      <w:r>
        <w:t xml:space="preserve">11. Ryzyka i otwarte pytania</w:t>
      </w:r>
    </w:p>
    <w:p>
      <w:pPr>
        <w:pStyle w:val="Heading2"/>
      </w:pPr>
      <w:r>
        <w:t xml:space="preserve">11.1. Ryzyka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100"/>
        <w:gridCol w:w="4938"/>
      </w:tblGrid>
      <w:tr>
        <w:trPr>
          <w:tblHeader/>
        </w:trPr>
        <w:tc>
          <w:tcPr>
            <w:tcW w:type="dxa" w:w="36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E9EA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Ryzyko</w:t>
            </w:r>
          </w:p>
        </w:tc>
        <w:tc>
          <w:tcPr>
            <w:tcW w:type="dxa" w:w="11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E9EA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Wpływ</w:t>
            </w:r>
          </w:p>
        </w:tc>
        <w:tc>
          <w:tcPr>
            <w:tcW w:type="dxa" w:w="49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E9EA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Działanie zaradcze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Użytkownik myli ROI z przychodem (np. wpisuje 150% zamiast 50%)</w:t>
            </w:r>
          </w:p>
        </w:tc>
        <w:tc>
          <w:tcPr>
            <w:tcW w:type="dxa" w:w="11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Średni</w:t>
            </w:r>
          </w:p>
        </w:tc>
        <w:tc>
          <w:tcPr>
            <w:tcW w:type="dxa" w:w="49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Opis pola i przykład w interfejsie; wynik pokazuje osobno zysk i przychód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Błędy zaokrągleń przy ułamkowych udziałach</w:t>
            </w:r>
          </w:p>
        </w:tc>
        <w:tc>
          <w:tcPr>
            <w:tcW w:type="dxa" w:w="11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Niski</w:t>
            </w:r>
          </w:p>
        </w:tc>
        <w:tc>
          <w:tcPr>
            <w:tcW w:type="dxa" w:w="49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Tolerancja 0,001 pp; funkcja „Rozłóż równo” daje sumę dokładnie 100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Szacunki ROI są niepewne</w:t>
            </w:r>
          </w:p>
        </w:tc>
        <w:tc>
          <w:tcPr>
            <w:tcW w:type="dxa" w:w="11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Wysoki</w:t>
            </w:r>
          </w:p>
        </w:tc>
        <w:tc>
          <w:tcPr>
            <w:tcW w:type="dxa" w:w="49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Porównanie wariantów pozwala ocenić wrażliwość wyniku; w kolejnej wersji: scenariusze pesymistyczny i optymistyczny</w:t>
            </w:r>
          </w:p>
        </w:tc>
      </w:tr>
    </w:tbl>
    <w:p>
      <w:pPr>
        <w:pStyle w:val="Heading2"/>
      </w:pPr>
      <w:r>
        <w:t xml:space="preserve">11.2. Otwarte pytania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Czy w kolejnej wersji dodać zapisywanie scenariuszy i wykres (pozostałe funkcje „dla chętnych”)?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Czy ROI powinien uwzględniać horyzont czasowy zwrotu?</w:t>
      </w:r>
    </w:p>
    <w:p>
      <w:pPr>
        <w:pStyle w:val="Heading1"/>
      </w:pPr>
      <w:r>
        <w:t xml:space="preserve">12. Plan wydania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638"/>
        <w:gridCol w:w="2400"/>
      </w:tblGrid>
      <w:tr>
        <w:trPr>
          <w:tblHeader/>
        </w:trPr>
        <w:tc>
          <w:tcPr>
            <w:tcW w:type="dxa" w:w="16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E9EA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Etap</w:t>
            </w:r>
          </w:p>
        </w:tc>
        <w:tc>
          <w:tcPr>
            <w:tcW w:type="dxa" w:w="56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E9EA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Zakres</w:t>
            </w:r>
          </w:p>
        </w:tc>
        <w:tc>
          <w:tcPr>
            <w:tcW w:type="dxa" w:w="24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E9EA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MVP 1.0</w:t>
            </w:r>
          </w:p>
        </w:tc>
        <w:tc>
          <w:tcPr>
            <w:tcW w:type="dxa" w:w="56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F1–F10, NF1–NF7</w:t>
            </w:r>
          </w:p>
        </w:tc>
        <w:tc>
          <w:tcPr>
            <w:tcW w:type="dxa" w:w="24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Zrealizowane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1.1</w:t>
            </w:r>
          </w:p>
        </w:tc>
        <w:tc>
          <w:tcPr>
            <w:tcW w:type="dxa" w:w="56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Wykres podziału budżetu i zwrotu per kategoria</w:t>
            </w:r>
          </w:p>
        </w:tc>
        <w:tc>
          <w:tcPr>
            <w:tcW w:type="dxa" w:w="24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shd w:fill="F6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Propozycja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1.2</w:t>
            </w:r>
          </w:p>
        </w:tc>
        <w:tc>
          <w:tcPr>
            <w:tcW w:type="dxa" w:w="5638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Zapisywanie i wczytywanie scenariuszy, eksport</w:t>
            </w:r>
          </w:p>
        </w:tc>
        <w:tc>
          <w:tcPr>
            <w:tcW w:type="dxa" w:w="2400"/>
            <w:tcBorders>
              <w:top w:val="single" w:color="D5D8E5" w:sz="4"/>
              <w:left w:val="single" w:color="D5D8E5" w:sz="4"/>
              <w:bottom w:val="single" w:color="D5D8E5" w:sz="4"/>
              <w:right w:val="single" w:color="D5D8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Propozycja</w:t>
            </w:r>
          </w:p>
        </w:tc>
      </w:tr>
    </w:tbl>
    <w:p>
      <w:pPr>
        <w:pStyle w:val="Heading1"/>
      </w:pPr>
      <w:r>
        <w:t xml:space="preserve">13. Kryteria akceptacji wydania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t xml:space="preserve">Przykład referencyjny z rozdziału 7.1 daje dokładnie podane wartości.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t xml:space="preserve">Suma udziałów 99% lub 101% ukrywa wynik i pokazuje komunikat o brakujących lub nadmiarowych pp.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t xml:space="preserve">Dodanie lub usunięcie kategorii natychmiast aktualizuje sumę i wynik.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t xml:space="preserve">Porównanie poprawnie liczy różnicę B − A i wskazuje lepszy wariant.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t xml:space="preserve">Wszystkie testy jednostkowe przechodzą (node --test).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275"/>
        <w:sz w:val="16"/>
        <w:szCs w:val="16"/>
      </w:rPr>
      <w:t xml:space="preserve">Strona </w:t>
    </w:r>
    <w:r>
      <w:rPr>
        <w:color w:val="5B62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275"/>
        <w:sz w:val="16"/>
        <w:szCs w:val="16"/>
      </w:rPr>
      <w:t xml:space="preserve"> z </w:t>
    </w:r>
    <w:r>
      <w:rPr>
        <w:color w:val="5B62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275"/>
        <w:sz w:val="16"/>
        <w:szCs w:val="16"/>
      </w:rPr>
      <w:t xml:space="preserve">PRD · Symulator budżetu i ROI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21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400"/>
      <w:outlineLvl w:val="0"/>
    </w:pPr>
    <w:rPr>
      <w:b/>
      <w:bCs/>
      <w:color w:val="3F43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b/>
      <w:bCs/>
      <w:color w:val="1D213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– Symulator budżetu marketingowego i ROI</dc:title>
  <dc:creator>Symulator budżetu i ROI</dc:creator>
  <cp:lastModifiedBy>Un-named</cp:lastModifiedBy>
  <cp:revision>1</cp:revision>
  <dcterms:created xsi:type="dcterms:W3CDTF">2026-10-11T13:31:45.208Z</dcterms:created>
  <dcterms:modified xsi:type="dcterms:W3CDTF">2026-10-11T13:31:45.209Z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