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1D75" w14:textId="77777777" w:rsidR="00F306B7" w:rsidRPr="00E1598B" w:rsidRDefault="00DA0C48" w:rsidP="00F306B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CHAPTER 1, </w:t>
      </w:r>
      <w:r w:rsidR="00F306B7" w:rsidRPr="00E1598B">
        <w:rPr>
          <w:b/>
          <w:sz w:val="32"/>
          <w:szCs w:val="32"/>
          <w:u w:val="single"/>
        </w:rPr>
        <w:t>PARTICULARS OF ORGANISATION, FUNCTIONS &amp;DUTIES</w:t>
      </w:r>
    </w:p>
    <w:p w14:paraId="59EC17A0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The main functions of the Land and Development Office are as follows:-</w:t>
      </w:r>
    </w:p>
    <w:p w14:paraId="5153345C" w14:textId="77777777" w:rsidR="00F306B7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1. Maintenance of records of all Nazul Lands acquired in 1911 for the formation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Capital at Delhi and the land comprising Rehabilitation Colonies.</w:t>
      </w:r>
    </w:p>
    <w:p w14:paraId="000C8218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2. Allotment of land to various Govt./Semi Govt. Departments and various political,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social, cultural, charitable, educational and religious institutions under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direction of the Government of India.</w:t>
      </w:r>
    </w:p>
    <w:p w14:paraId="7AE78FEF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3. Auction of land for Residential/Commercial purposes under the directions of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Government of India.</w:t>
      </w:r>
    </w:p>
    <w:p w14:paraId="2089AD07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4. Administration and management of various leases granted direct by the Land &amp;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Development Officer and the Regional Settlement commissioner in Delhi/New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Delhi in accordance with the terms of the lease thereof and the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orders/instructions issued by the Government of India from time to time.</w:t>
      </w:r>
    </w:p>
    <w:p w14:paraId="5CBFA7B4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5. Recovery of all Government dues in respect of land under its control.</w:t>
      </w:r>
    </w:p>
    <w:p w14:paraId="3F918D24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6. Eviction of Squatters of Government land and recovery of damages from them: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administration of Public Premises (Eviction of Unauthorized Occupants) Act. 1971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in respect of areas under its control.</w:t>
      </w:r>
    </w:p>
    <w:p w14:paraId="4DE0755E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7. Maintenance of accounts of all receipts and refunds of Revenue in respect of</w:t>
      </w:r>
      <w:r>
        <w:rPr>
          <w:sz w:val="24"/>
          <w:szCs w:val="24"/>
        </w:rPr>
        <w:t xml:space="preserve"> </w:t>
      </w:r>
      <w:r w:rsidRPr="009E4781">
        <w:rPr>
          <w:sz w:val="24"/>
          <w:szCs w:val="24"/>
        </w:rPr>
        <w:t>land under its control.</w:t>
      </w:r>
    </w:p>
    <w:p w14:paraId="37038871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8. Granting of conversion into free hold in respect of specified types of leases.</w:t>
      </w:r>
    </w:p>
    <w:p w14:paraId="1D96231B" w14:textId="77777777" w:rsidR="00F306B7" w:rsidRPr="009E4781" w:rsidRDefault="00F306B7" w:rsidP="008F5ADC">
      <w:pPr>
        <w:jc w:val="both"/>
        <w:rPr>
          <w:sz w:val="24"/>
          <w:szCs w:val="24"/>
        </w:rPr>
      </w:pPr>
      <w:r w:rsidRPr="009E4781">
        <w:rPr>
          <w:sz w:val="24"/>
          <w:szCs w:val="24"/>
        </w:rPr>
        <w:t>9. All matters incidental to and arising out of (i) to (vii) above.</w:t>
      </w:r>
    </w:p>
    <w:p w14:paraId="23CD844C" w14:textId="77777777" w:rsidR="006923CB" w:rsidRDefault="006923CB"/>
    <w:sectPr w:rsidR="006923CB" w:rsidSect="0069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F6392"/>
    <w:multiLevelType w:val="multilevel"/>
    <w:tmpl w:val="2FE4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20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B7"/>
    <w:rsid w:val="0011184B"/>
    <w:rsid w:val="005F205B"/>
    <w:rsid w:val="00664536"/>
    <w:rsid w:val="006923CB"/>
    <w:rsid w:val="008F5ADC"/>
    <w:rsid w:val="00910F47"/>
    <w:rsid w:val="00BD41E6"/>
    <w:rsid w:val="00C8454B"/>
    <w:rsid w:val="00DA0C48"/>
    <w:rsid w:val="00F3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AABE"/>
  <w15:docId w15:val="{A735AD86-DB12-4659-8819-DD25C048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B7"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SPRAC SERVICES</cp:lastModifiedBy>
  <cp:revision>2</cp:revision>
  <dcterms:created xsi:type="dcterms:W3CDTF">2024-04-22T09:13:00Z</dcterms:created>
  <dcterms:modified xsi:type="dcterms:W3CDTF">2024-04-22T09:13:00Z</dcterms:modified>
</cp:coreProperties>
</file>