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1"/>
        <w:ind w:left="0" w:right="0" w:firstLine="0"/>
        <w:jc w:val="left"/>
        <w:rPr>
          <w:rFonts w:ascii="David Libre Regular" w:cs="David Libre Regular" w:hAnsi="David Libre Regular" w:eastAsia="David Libre Regular"/>
          <w:sz w:val="24"/>
          <w:szCs w:val="24"/>
          <w:rtl w:val="1"/>
        </w:rPr>
      </w:pP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תום ארי</w:t>
      </w:r>
    </w:p>
    <w:p>
      <w:pPr>
        <w:pStyle w:val="Body"/>
        <w:bidi w:val="1"/>
        <w:ind w:left="0" w:right="0" w:firstLine="0"/>
        <w:jc w:val="left"/>
        <w:rPr>
          <w:rFonts w:ascii="David Libre Regular" w:cs="David Libre Regular" w:hAnsi="David Libre Regular" w:eastAsia="David Libre Regular"/>
          <w:sz w:val="24"/>
          <w:szCs w:val="24"/>
          <w:rtl w:val="1"/>
        </w:rPr>
      </w:pP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>207286030</w:t>
      </w:r>
    </w:p>
    <w:p>
      <w:pPr>
        <w:pStyle w:val="Body"/>
        <w:bidi w:val="1"/>
        <w:ind w:left="0" w:right="0" w:firstLine="0"/>
        <w:jc w:val="left"/>
        <w:rPr>
          <w:rFonts w:ascii="David Libre Regular" w:cs="David Libre Regular" w:hAnsi="David Libre Regular" w:eastAsia="David Libre Regular"/>
          <w:sz w:val="24"/>
          <w:szCs w:val="24"/>
          <w:rtl w:val="1"/>
        </w:rPr>
      </w:pP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ממ״ן 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>11</w:t>
      </w:r>
    </w:p>
    <w:p>
      <w:pPr>
        <w:pStyle w:val="Body"/>
        <w:bidi w:val="1"/>
        <w:ind w:left="0" w:right="0" w:firstLine="0"/>
        <w:jc w:val="left"/>
        <w:rPr>
          <w:rFonts w:ascii="David Libre Regular" w:cs="David Libre Regular" w:hAnsi="David Libre Regular" w:eastAsia="David Libre Regular"/>
          <w:sz w:val="24"/>
          <w:szCs w:val="24"/>
          <w:rtl w:val="1"/>
        </w:rPr>
      </w:pP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>8.4.2024</w:t>
      </w:r>
    </w:p>
    <w:p>
      <w:pPr>
        <w:pStyle w:val="Body"/>
        <w:bidi w:val="1"/>
        <w:ind w:left="0" w:right="0" w:firstLine="0"/>
        <w:jc w:val="left"/>
        <w:rPr>
          <w:rFonts w:ascii="David Libre Regular" w:cs="David Libre Regular" w:hAnsi="David Libre Regular" w:eastAsia="David Libre Regular"/>
          <w:sz w:val="24"/>
          <w:szCs w:val="24"/>
          <w:rtl w:val="1"/>
        </w:rPr>
      </w:pP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פילוסופיה של הנפש בתקופתנו</w:t>
      </w:r>
    </w:p>
    <w:p>
      <w:pPr>
        <w:pStyle w:val="Body"/>
        <w:bidi w:val="1"/>
        <w:ind w:left="0" w:right="0" w:firstLine="0"/>
        <w:jc w:val="left"/>
        <w:rPr>
          <w:rFonts w:ascii="David Libre Regular" w:cs="David Libre Regular" w:hAnsi="David Libre Regular" w:eastAsia="David Libre Regular"/>
          <w:sz w:val="24"/>
          <w:szCs w:val="24"/>
          <w:rtl w:val="1"/>
        </w:rPr>
      </w:pPr>
    </w:p>
    <w:p>
      <w:pPr>
        <w:pStyle w:val="Body"/>
        <w:numPr>
          <w:ilvl w:val="0"/>
          <w:numId w:val="2"/>
        </w:numPr>
        <w:bidi w:val="1"/>
        <w:ind w:right="0"/>
        <w:jc w:val="left"/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</w:pP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״דנה מאמינה שדן מאמין שעונת האבוקדו הסתיימה״ </w:t>
      </w:r>
      <w:r>
        <w:rPr>
          <w:rFonts w:ascii="David Libre Regular" w:cs="David Libre Regular" w:hAnsi="David Libre Regular" w:eastAsia="David Libre Regular"/>
          <w:sz w:val="24"/>
          <w:szCs w:val="24"/>
        </w:rPr>
        <w:br w:type="textWrapping"/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א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האם טענה זו מבטאת מודעות רפלקטיבית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>?</w:t>
      </w:r>
      <w:r>
        <w:rPr>
          <w:rFonts w:ascii="David Libre Regular" w:cs="David Libre Regular" w:hAnsi="David Libre Regular" w:eastAsia="David Libre Regular"/>
          <w:sz w:val="24"/>
          <w:szCs w:val="24"/>
        </w:rPr>
        <w:br w:type="textWrapping"/>
        <w:br w:type="textWrapping"/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טענה זו אינה מבטאת מודעות רפלקטיבית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המונח מודעות רפלקטיבית מבטא מצב שבו ליצור נפשי מתקיים מצב נפשי אודות מצבו הנפשי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למשל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הטענה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״דנה מאמינה שדנה מאמינה שעונת האבוקדו הסתיימה״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מבטאת מודעות רפלקטיבית של דנה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מצב נפשי כלפי מצב נפשי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״דנה מאמינה שדנה מאמינה״ הינה ״האמנה מסדר שני </w:t>
      </w:r>
      <w:r>
        <w:rPr>
          <w:rFonts w:ascii="David Libre Regular" w:hAnsi="David Libre Regular"/>
          <w:sz w:val="24"/>
          <w:szCs w:val="24"/>
          <w:rtl w:val="0"/>
          <w:lang w:val="en-US"/>
        </w:rPr>
        <w:t>(second-order belief)</w:t>
      </w:r>
      <w:r>
        <w:rPr>
          <w:rFonts w:ascii="David Libre Regular" w:hAnsi="David Libre Regular"/>
          <w:sz w:val="24"/>
          <w:szCs w:val="24"/>
          <w:rtl w:val="0"/>
          <w:lang w:val="en-US"/>
        </w:rPr>
        <w:t>,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 וההאמנה ה״רגילה״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: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״דנה מאמינה שעונת האבוקדו הסתיימה״ הינה ״האמנה מסדר ראשון 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>(</w:t>
      </w:r>
      <w:r>
        <w:rPr>
          <w:rFonts w:ascii="David Libre Regular" w:hAnsi="David Libre Regular"/>
          <w:sz w:val="24"/>
          <w:szCs w:val="24"/>
          <w:rtl w:val="0"/>
          <w:lang w:val="en-US"/>
        </w:rPr>
        <w:t>first-order belief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).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האמנתה של דנה בטיעון אינו כלפי עצמה אלא כלפי מצבו הנפשי ייצור נפשי אחר</w:t>
      </w:r>
      <w:r>
        <w:rPr>
          <w:rFonts w:ascii="David Libre Regular" w:hAnsi="David Libre Regular"/>
          <w:sz w:val="24"/>
          <w:szCs w:val="24"/>
          <w:rtl w:val="0"/>
          <w:lang w:val="en-US"/>
        </w:rPr>
        <w:t xml:space="preserve"> -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דן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לכן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טיעון זה אינו מבטא מודעות רפלקטיבית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>.</w:t>
      </w:r>
      <w:r>
        <w:rPr>
          <w:rFonts w:ascii="David Libre Regular" w:cs="David Libre Regular" w:hAnsi="David Libre Regular" w:eastAsia="David Libre Regular"/>
          <w:sz w:val="24"/>
          <w:szCs w:val="24"/>
        </w:rPr>
        <w:br w:type="textWrapping"/>
        <w:br w:type="textWrapping"/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ב</w:t>
      </w:r>
      <w:r>
        <w:rPr>
          <w:rFonts w:ascii="David Libre Regular" w:hAnsi="David Libre Regular"/>
          <w:sz w:val="24"/>
          <w:szCs w:val="24"/>
          <w:rtl w:val="1"/>
        </w:rPr>
        <w:t xml:space="preserve">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האם אפשר למצוא בטענה זו דוגמא ליכולת המצבים הנפשיים לחרוג לעולם החוץ נפשי</w:t>
      </w:r>
      <w:r>
        <w:rPr>
          <w:rFonts w:ascii="David Libre Regular" w:hAnsi="David Libre Regular"/>
          <w:sz w:val="24"/>
          <w:szCs w:val="24"/>
          <w:rtl w:val="0"/>
        </w:rPr>
        <w:t xml:space="preserve">?        </w:t>
      </w:r>
      <w:r>
        <w:rPr>
          <w:rFonts w:ascii="David Libre Regular" w:cs="David Libre Regular" w:hAnsi="David Libre Regular" w:eastAsia="David Libre Regular"/>
          <w:sz w:val="24"/>
          <w:szCs w:val="24"/>
        </w:rPr>
        <w:br w:type="textWrapping"/>
        <w:br w:type="textWrapping"/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כן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בטענה זו ניתן לראות דוגמא ליכולת של מצבים נפשיים לחרוג לעולם החוץ נפשי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פרנץ ברנטנו טען מכוונות הינה סימן ההיכר של מצבים נפשיים ולכן לכל מצב נפשי קיימת מכוונות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למכוונות תוכן או המושא אליו המצב הנפשי מצביע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כאשר דנה מאמינה שדן מאמין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מושא מכוונתה הינו מחוץ לעולמה הנפשי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אל מצבו הנפשי של דן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זוהי היכולת של ייצור נפשי לחרוג בעזרת מכוונות אל מחוץ לעולמו הנפשי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אל העולם החוץ נפשי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>.</w:t>
      </w:r>
      <w:r>
        <w:rPr>
          <w:rFonts w:ascii="David Libre Regular" w:cs="David Libre Regular" w:hAnsi="David Libre Regular" w:eastAsia="David Libre Regular"/>
          <w:sz w:val="24"/>
          <w:szCs w:val="24"/>
        </w:rPr>
        <w:br w:type="textWrapping"/>
      </w:r>
    </w:p>
    <w:p>
      <w:pPr>
        <w:pStyle w:val="Body"/>
        <w:numPr>
          <w:ilvl w:val="0"/>
          <w:numId w:val="2"/>
        </w:numPr>
        <w:bidi w:val="1"/>
        <w:ind w:right="0"/>
        <w:jc w:val="left"/>
        <w:rPr>
          <w:rFonts w:ascii="David Libre Regular" w:cs="David Libre Regular" w:hAnsi="David Libre Regular" w:eastAsia="David Libre Regular"/>
          <w:sz w:val="24"/>
          <w:szCs w:val="24"/>
          <w:rtl w:val="1"/>
        </w:rPr>
      </w:pPr>
      <w:r>
        <w:rPr>
          <w:rFonts w:ascii="David Libre Regular" w:cs="David Libre Regular" w:hAnsi="David Libre Regular" w:eastAsia="David Libre Regular"/>
          <w:sz w:val="24"/>
          <w:szCs w:val="24"/>
        </w:rPr>
        <w:br w:type="textWrapping"/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א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יש שטוענים שמי שלא חווה אהבה לא יכול לדעת מהי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כיצד יכולה טענה זו לשמש לביסוס ההשקפה הדואליסטית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>?</w:t>
      </w:r>
      <w:r>
        <w:rPr>
          <w:rFonts w:ascii="David Libre Regular" w:cs="David Libre Regular" w:hAnsi="David Libre Regular" w:eastAsia="David Libre Regular"/>
          <w:sz w:val="24"/>
          <w:szCs w:val="24"/>
        </w:rPr>
        <w:br w:type="textWrapping"/>
        <w:br w:type="textWrapping"/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באמירה זו מצויה הטענה כי לאהבה יש קוואליות מסוימת וזו סובייקטית ובעלת נקודת מבט אישית 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>(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בדומה ל״חדר של מרי״ ו״איך זה להיות עטלף״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).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דואליסט יטען כי תכונה זו אינה יכולת להיות מוסברת בצורה אובייקטיבית 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-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על ידי פיזיקליזם 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>(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מדע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)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ולכן אינו יכול להיות מצומצם 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>(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מועמד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רדוקטיבי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),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לעומת נגיד תופעות פיזיקליות אחרות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מאחר ואי אפשר לתאר סובייקטיביות ותחושת חוויה בצורה מדעית חייב שתחושות כמו אהבה גוררות נפש שאינה פיזיקלית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>.</w:t>
      </w:r>
      <w:r>
        <w:rPr>
          <w:rFonts w:ascii="David Libre Regular" w:cs="David Libre Regular" w:hAnsi="David Libre Regular" w:eastAsia="David Libre Regular"/>
          <w:sz w:val="24"/>
          <w:szCs w:val="24"/>
        </w:rPr>
        <w:br w:type="textWrapping"/>
        <w:br w:type="textWrapping"/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ב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מהי אינטנסיונליות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,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וכיצד יכול מטריאליסט להשתמש בה כדי לענות לטיעון הדואליסטי של בסעיף א׳</w:t>
      </w:r>
      <w:r>
        <w:rPr>
          <w:rFonts w:ascii="David Libre Regular" w:cs="David Libre Regular" w:hAnsi="David Libre Regular" w:eastAsia="David Libre Regular"/>
          <w:sz w:val="24"/>
          <w:szCs w:val="24"/>
        </w:rPr>
        <w:br w:type="textWrapping"/>
        <w:br w:type="textWrapping"/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ב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טיעון הידע של פרנק</w:t>
      </w:r>
      <w:r>
        <w:rPr>
          <w:rFonts w:ascii="David Libre Regular" w:hAnsi="David Libre Regular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ג</w:t>
      </w:r>
      <w:r>
        <w:rPr>
          <w:rFonts w:ascii="David Libre Regular" w:hAnsi="David Libre Regular" w:hint="default"/>
          <w:sz w:val="24"/>
          <w:szCs w:val="24"/>
          <w:rtl w:val="1"/>
          <w:lang w:val="he-IL" w:bidi="he-IL"/>
        </w:rPr>
        <w:t>‘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קסון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 הוא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 מציין כי לפי הפיזיקליזם</w:t>
      </w:r>
      <w:r>
        <w:rPr>
          <w:rFonts w:ascii="David Libre Regular" w:hAnsi="David Libre Regular"/>
          <w:sz w:val="24"/>
          <w:szCs w:val="24"/>
          <w:rtl w:val="0"/>
        </w:rPr>
        <w:t>, '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כל המידע הנכון הוא מידע פיזיקלי</w:t>
      </w:r>
      <w:r>
        <w:rPr>
          <w:rFonts w:ascii="David Libre Regular" w:hAnsi="David Libre Regular"/>
          <w:sz w:val="24"/>
          <w:szCs w:val="24"/>
          <w:rtl w:val="0"/>
          <w:lang w:val="ru-RU"/>
        </w:rPr>
        <w:t>' (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עמ</w:t>
      </w:r>
      <w:r>
        <w:rPr>
          <w:rFonts w:ascii="David Libre Regular" w:hAnsi="David Libre Regular"/>
          <w:sz w:val="24"/>
          <w:szCs w:val="24"/>
          <w:rtl w:val="0"/>
        </w:rPr>
        <w:t xml:space="preserve">' 127).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הוא מגדיר </w:t>
      </w:r>
      <w:r>
        <w:rPr>
          <w:rFonts w:ascii="David Libre Regular" w:hAnsi="David Libre Regular"/>
          <w:sz w:val="24"/>
          <w:szCs w:val="24"/>
          <w:rtl w:val="0"/>
        </w:rPr>
        <w:t>'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קוואליה</w:t>
      </w:r>
      <w:r>
        <w:rPr>
          <w:rFonts w:ascii="David Libre Regular" w:hAnsi="David Libre Regular"/>
          <w:sz w:val="24"/>
          <w:szCs w:val="24"/>
          <w:rtl w:val="0"/>
          <w:lang w:val="ru-RU"/>
        </w:rPr>
        <w:t xml:space="preserve">'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כתחושת החוויה של מצב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נפשי למשל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 ראיית הצבע האדום</w:t>
      </w:r>
      <w:r>
        <w:rPr>
          <w:rFonts w:ascii="David Libre Regular" w:hAnsi="David Libre Regular"/>
          <w:sz w:val="24"/>
          <w:szCs w:val="24"/>
          <w:rtl w:val="1"/>
        </w:rPr>
        <w:t xml:space="preserve">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בניסוי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ים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המחש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בתיים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 של פרד ומארי</w:t>
      </w:r>
      <w:r>
        <w:rPr>
          <w:rFonts w:ascii="David Libre Regular" w:hAnsi="David Libre Regular"/>
          <w:sz w:val="24"/>
          <w:szCs w:val="24"/>
          <w:rtl w:val="1"/>
        </w:rPr>
        <w:t xml:space="preserve">,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ג</w:t>
      </w:r>
      <w:r>
        <w:rPr>
          <w:rFonts w:ascii="David Libre Regular" w:hAnsi="David Libre Regular"/>
          <w:sz w:val="24"/>
          <w:szCs w:val="24"/>
          <w:rtl w:val="0"/>
        </w:rPr>
        <w:t>'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קסון מציג את הטיעון כי אף אם נתו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ן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 לנו כל המידע הפיזיקלי על חוויה מסוימת</w:t>
      </w:r>
      <w:r>
        <w:rPr>
          <w:rFonts w:ascii="David Libre Regular" w:hAnsi="David Libre Regular"/>
          <w:sz w:val="24"/>
          <w:szCs w:val="24"/>
          <w:rtl w:val="1"/>
        </w:rPr>
        <w:t xml:space="preserve">,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בעת החוויה עצמה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 xml:space="preserve">מתווסף ידע </w:t>
      </w:r>
      <w:r>
        <w:rPr>
          <w:rFonts w:ascii="David Libre Regular" w:hAnsi="David Libre Regular"/>
          <w:sz w:val="24"/>
          <w:szCs w:val="24"/>
          <w:rtl w:val="1"/>
          <w:lang w:val="he-IL" w:bidi="he-IL"/>
        </w:rPr>
        <w:t xml:space="preserve">-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למשל בשל תגובתה החדשה של מארי לראיית אדום</w:t>
      </w:r>
      <w:r>
        <w:rPr>
          <w:rFonts w:ascii="David Libre Regular" w:hAnsi="David Libre Regular"/>
          <w:sz w:val="24"/>
          <w:szCs w:val="24"/>
          <w:rtl w:val="1"/>
        </w:rPr>
        <w:t xml:space="preserve">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מכאן הוא מגיע למסקנה כי לחוויה אין תכונת פיזיקליות</w:t>
      </w:r>
      <w:r>
        <w:rPr>
          <w:rFonts w:ascii="David Libre Regular" w:hAnsi="David Libre Regular"/>
          <w:sz w:val="24"/>
          <w:szCs w:val="24"/>
          <w:rtl w:val="1"/>
        </w:rPr>
        <w:t xml:space="preserve">.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באמצעות האינטנסיונליות</w:t>
      </w:r>
      <w:r>
        <w:rPr>
          <w:rFonts w:ascii="David Libre Regular" w:hAnsi="David Libre Regular"/>
          <w:sz w:val="24"/>
          <w:szCs w:val="24"/>
          <w:rtl w:val="1"/>
        </w:rPr>
        <w:t xml:space="preserve">,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אפשר להציג את הטיעון כי ההנחה של ג</w:t>
      </w:r>
      <w:r>
        <w:rPr>
          <w:rFonts w:ascii="David Libre Regular" w:hAnsi="David Libre Regular"/>
          <w:sz w:val="24"/>
          <w:szCs w:val="24"/>
          <w:rtl w:val="0"/>
        </w:rPr>
        <w:t>'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קסון לגבי אופי המידע הפיזיקלי אינה נכונה</w:t>
      </w:r>
      <w:r>
        <w:rPr>
          <w:rFonts w:ascii="David Libre Regular" w:hAnsi="David Libre Regular"/>
          <w:sz w:val="24"/>
          <w:szCs w:val="24"/>
          <w:rtl w:val="1"/>
        </w:rPr>
        <w:t xml:space="preserve">,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מאחר והמידע ה</w:t>
      </w:r>
      <w:r>
        <w:rPr>
          <w:rFonts w:ascii="David Libre Regular" w:hAnsi="David Libre Regular"/>
          <w:sz w:val="24"/>
          <w:szCs w:val="24"/>
          <w:rtl w:val="0"/>
        </w:rPr>
        <w:t>'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חדש</w:t>
      </w:r>
      <w:r>
        <w:rPr>
          <w:rFonts w:ascii="David Libre Regular" w:hAnsi="David Libre Regular"/>
          <w:sz w:val="24"/>
          <w:szCs w:val="24"/>
          <w:rtl w:val="0"/>
          <w:lang w:val="ru-RU"/>
        </w:rPr>
        <w:t xml:space="preserve">'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שמארי לומדת בעת חווית האדום</w:t>
      </w:r>
      <w:r>
        <w:rPr>
          <w:rFonts w:ascii="David Libre Regular" w:hAnsi="David Libre Regular"/>
          <w:sz w:val="24"/>
          <w:szCs w:val="24"/>
          <w:rtl w:val="1"/>
        </w:rPr>
        <w:t xml:space="preserve">, </w:t>
      </w:r>
      <w:r>
        <w:rPr>
          <w:rFonts w:ascii="Arial Unicode MS" w:cs="David Libre Regular" w:hAnsi="Arial Unicode MS" w:eastAsia="Arial Unicode MS" w:hint="cs"/>
          <w:sz w:val="24"/>
          <w:szCs w:val="24"/>
          <w:rtl w:val="1"/>
          <w:lang w:val="he-IL" w:bidi="he-IL"/>
        </w:rPr>
        <w:t>הוא למעשה החלפה ששומרת על ערך האמת של הידע הפיזיקלי שלמדה בעבר</w:t>
      </w:r>
      <w:r>
        <w:rPr>
          <w:rFonts w:ascii="David Libre Regular" w:hAnsi="David Libre Regular"/>
          <w:sz w:val="24"/>
          <w:szCs w:val="24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avid Libre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