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mProphet algorithm with all </w:t>
            </w:r>
            <w:r>
              <w:rPr>
                <w:rFonts w:ascii="Calibri" w:hAnsi="Calibri"/>
              </w:rPr>
              <w:lastRenderedPageBreak/>
              <w:t>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 assay library transition list with columns for iRT and relative product ion abundance to create an iRT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of a protein or peptide list containing the iRT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 separate assay library containing the iRT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an existing iRT calculator (.irtdb file) to be used with an imported assay library. Or, if –irt-standards-group-name or –irt-standards-file are used, then this is the output path for the created .irtdb file. (optional) The default iRT calculator path is path/to/document.irtdb</w:t>
            </w:r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for the iRT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bookmarkStart w:id="0" w:name="_GoBack"/>
      <w:bookmarkEnd w:id="0"/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--exp-isolationlist-instrument=&lt;AB SCIEX TOF | Agilent TOF | Thermo Q Exactive | Thermo Fusion | Waters Synapt (trap) | Waters Synapt (transfer) | Waters Xevo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–exp-translist-instrument or –exp-method-instrument, because you cannot export an isolation list and a transition list or method simultaneously.</w:t>
            </w:r>
          </w:p>
        </w:tc>
      </w:tr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</w:t>
            </w:r>
            <w:r w:rsidR="00F73BC6">
              <w:rPr>
                <w:rFonts w:ascii="Calibri" w:hAnsi="Calibri"/>
              </w:rPr>
              <w:t xml:space="preserve"> Bruker | Shimadzu |</w:t>
            </w:r>
            <w:r>
              <w:rPr>
                <w:rFonts w:ascii="Calibri" w:hAnsi="Calibri"/>
              </w:rPr>
              <w:t xml:space="preserve"> Thermo</w:t>
            </w:r>
            <w:r w:rsidR="00F73BC6">
              <w:rPr>
                <w:rFonts w:ascii="Calibri" w:hAnsi="Calibri"/>
              </w:rPr>
              <w:t xml:space="preserve"> | Thermo Quantiva</w:t>
            </w:r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77425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 xml:space="preserve">–exp-isolation-list or </w:t>
            </w:r>
            <w:r w:rsidR="007938EE">
              <w:rPr>
                <w:rFonts w:ascii="Calibri" w:hAnsi="Calibri"/>
              </w:rPr>
              <w:t>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</w:t>
            </w:r>
            <w:r w:rsidR="00774255">
              <w:rPr>
                <w:rFonts w:ascii="Calibri" w:hAnsi="Calibri"/>
              </w:rPr>
              <w:t>transition list 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>Agilent 6400 Series |</w:t>
            </w:r>
            <w:r w:rsidR="004143FD">
              <w:rPr>
                <w:rFonts w:ascii="Calibri" w:hAnsi="Calibri"/>
              </w:rPr>
              <w:t xml:space="preserve"> 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r>
              <w:rPr>
                <w:rFonts w:ascii="Calibri" w:hAnsi="Calibri"/>
              </w:rPr>
              <w:t xml:space="preserve">Thermo TSQ | Thermo LTQ | </w:t>
            </w:r>
            <w:r w:rsidR="004143FD">
              <w:rPr>
                <w:rFonts w:ascii="Calibri" w:hAnsi="Calibri"/>
              </w:rPr>
              <w:t xml:space="preserve">Thermo Quantiva | Thermo Fusion | </w:t>
            </w:r>
            <w:r>
              <w:rPr>
                <w:rFonts w:ascii="Calibri" w:hAnsi="Calibri"/>
              </w:rPr>
              <w:t xml:space="preserve">Waters Xevo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 xml:space="preserve">–exp-isolationlist-instrument or </w:t>
            </w:r>
            <w:r w:rsidR="00924449">
              <w:rPr>
                <w:rFonts w:ascii="Calibri" w:hAnsi="Calibri"/>
              </w:rPr>
              <w:t>--exp-translist-instrument,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 xml:space="preserve">, but if you specify one, the method will be scheduled based on that </w:t>
            </w:r>
            <w:r>
              <w:rPr>
                <w:rFonts w:ascii="Calibri" w:hAnsi="Calibri"/>
              </w:rPr>
              <w:lastRenderedPageBreak/>
              <w:t>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6560A9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Specify whether conflicting custom annotations from the provided ZIP file should overwrite (true) existing </w:t>
            </w:r>
            <w:r>
              <w:rPr>
                <w:rFonts w:ascii="Calibri" w:hAnsi="Calibri"/>
              </w:rPr>
              <w:lastRenderedPageBreak/>
              <w:t>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A9" w:rsidRDefault="006560A9">
      <w:r>
        <w:separator/>
      </w:r>
    </w:p>
  </w:endnote>
  <w:endnote w:type="continuationSeparator" w:id="0">
    <w:p w:rsidR="006560A9" w:rsidRDefault="0065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7C35AE">
          <w:rPr>
            <w:rFonts w:asciiTheme="minorHAnsi" w:hAnsiTheme="minorHAnsi" w:cstheme="minorHAnsi"/>
            <w:noProof/>
          </w:rPr>
          <w:t>4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A9" w:rsidRDefault="006560A9">
      <w:r>
        <w:rPr>
          <w:color w:val="000000"/>
        </w:rPr>
        <w:separator/>
      </w:r>
    </w:p>
  </w:footnote>
  <w:footnote w:type="continuationSeparator" w:id="0">
    <w:p w:rsidR="006560A9" w:rsidRDefault="0065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0E6A18"/>
    <w:rsid w:val="000F65B3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2DDD"/>
    <w:rsid w:val="00213452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560A9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55"/>
    <w:rsid w:val="007742D6"/>
    <w:rsid w:val="00785F2B"/>
    <w:rsid w:val="007938EE"/>
    <w:rsid w:val="007A0834"/>
    <w:rsid w:val="007A7572"/>
    <w:rsid w:val="007B49D3"/>
    <w:rsid w:val="007C35AE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AE0469"/>
    <w:rsid w:val="00B130F3"/>
    <w:rsid w:val="00B16E96"/>
    <w:rsid w:val="00B1757E"/>
    <w:rsid w:val="00B20F05"/>
    <w:rsid w:val="00B42A79"/>
    <w:rsid w:val="00B50663"/>
    <w:rsid w:val="00B67EA1"/>
    <w:rsid w:val="00B80DC8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C81AB-2023-40E3-B3EA-EC5E321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1A841-E896-4548-8F86-43F0FD52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1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kaipot</cp:lastModifiedBy>
  <cp:revision>56</cp:revision>
  <dcterms:created xsi:type="dcterms:W3CDTF">2013-08-15T20:54:00Z</dcterms:created>
  <dcterms:modified xsi:type="dcterms:W3CDTF">2016-05-02T17:42:00Z</dcterms:modified>
</cp:coreProperties>
</file>