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targeting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281F9E" w:rsidP="008C1D13">
      <w:hyperlink r:id="rId9" w:history="1">
        <w:r w:rsidR="009B773E" w:rsidRPr="006F3DA1">
          <w:rPr>
            <w:rStyle w:val="Hyperlink"/>
          </w:rPr>
          <w:t>https://skyline.gs.washington.edu/tutorials/SmallMolecule.zip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AE67A0" w:rsidRDefault="00B1645B" w:rsidP="00813ABF">
      <w:r w:rsidRPr="00AE67A0">
        <w:t>C:\Users\</w:t>
      </w:r>
      <w:r w:rsidR="00986B04" w:rsidRPr="00AE67A0">
        <w:t>bspratt</w:t>
      </w:r>
      <w:r w:rsidRPr="00AE67A0">
        <w:t>\Documents\</w:t>
      </w:r>
      <w:r w:rsidR="00C27406" w:rsidRPr="00AE67A0">
        <w:t>SmallMolecule</w:t>
      </w:r>
    </w:p>
    <w:p w:rsidR="00FD7B97" w:rsidRDefault="00FD7B97" w:rsidP="00813ABF">
      <w:r>
        <w:t>It will contain all the files necessary for this tutorial.</w:t>
      </w:r>
      <w:r w:rsidR="001A6AA8">
        <w:t xml:space="preserve">  </w:t>
      </w:r>
      <w:r w:rsidR="001A6AA8" w:rsidRPr="002F5577">
        <w:t>Now start Skyline, and you will be presented with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does not yet work for non-proteomic data – it’s not good at</w:t>
      </w:r>
      <w:r w:rsidR="00284540">
        <w:t xml:space="preserve"> </w:t>
      </w:r>
      <w:r w:rsidR="003A018F">
        <w:t>guessing which columns are which in a small molecule transition list.]</w:t>
      </w:r>
    </w:p>
    <w:p w:rsidR="002C3247" w:rsidRDefault="002C3247" w:rsidP="00C86489">
      <w:r>
        <w:t>At a minimum, Skyline needs to know the charge state and either the ion formula or m/z for each precursor and product.</w:t>
      </w:r>
      <w:r w:rsidR="00284540">
        <w:t xml:space="preserve">  If no product ion information is present, it</w:t>
      </w:r>
      <w:r w:rsidR="00077DE1">
        <w:t xml:space="preserve"> is</w:t>
      </w:r>
      <w:r w:rsidR="00284540">
        <w:t xml:space="preserve"> assumed to be a list of precursor </w:t>
      </w:r>
      <w:proofErr w:type="gramStart"/>
      <w:r w:rsidR="00284540">
        <w:lastRenderedPageBreak/>
        <w:t>targets</w:t>
      </w:r>
      <w:proofErr w:type="gramEnd"/>
      <w:r w:rsidR="00284540">
        <w:t>.</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p>
    <w:p w:rsidR="002C3247"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 xml:space="preserve">. </w:t>
      </w:r>
      <w:r w:rsidR="00284540">
        <w:t xml:space="preserve">Skyline just adds </w:t>
      </w:r>
      <w:r w:rsidR="00077DE1">
        <w:t xml:space="preserve">protons (hydrogen minus an electron) </w:t>
      </w:r>
      <w:r w:rsidR="00284540">
        <w:t xml:space="preserve">to the underlying chemical formula as needed. </w:t>
      </w:r>
      <w:r w:rsidR="00C91B49">
        <w:t xml:space="preserve"> </w:t>
      </w:r>
      <w:r w:rsidR="00077DE1">
        <w:t xml:space="preserve">For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 xml:space="preserve">drogen loss, </w:t>
      </w:r>
      <w:proofErr w:type="spellStart"/>
      <w:r w:rsidR="007A7565">
        <w:t>etc</w:t>
      </w:r>
      <w:proofErr w:type="spellEnd"/>
      <w:r w:rsidR="007A7565">
        <w:t>)</w:t>
      </w:r>
      <w:r w:rsidR="00284540">
        <w:t>.  T</w:t>
      </w:r>
      <w:r>
        <w:t xml:space="preserve">he </w:t>
      </w:r>
      <w:r w:rsidR="00C91B49">
        <w:t>most</w:t>
      </w:r>
      <w:r>
        <w:t xml:space="preserve"> reliable and flexible way to </w:t>
      </w:r>
      <w:r w:rsidR="00C70AA1">
        <w:t>describe</w:t>
      </w:r>
      <w:r>
        <w:t xml:space="preserve"> this </w:t>
      </w:r>
      <w:r w:rsidR="00077DE1">
        <w:t>for</w:t>
      </w:r>
      <w:r>
        <w:t xml:space="preserve"> </w:t>
      </w:r>
      <w:r w:rsidR="00C70AA1">
        <w:t xml:space="preserve">Skyline is </w:t>
      </w:r>
      <w:r>
        <w:t>with ion formulas.</w:t>
      </w:r>
      <w:r w:rsidR="007A7565">
        <w:t xml:space="preserve">  </w:t>
      </w:r>
      <w:r w:rsidR="00C70AA1">
        <w:t>That is, i</w:t>
      </w:r>
      <w:r w:rsidR="007A7565">
        <w:t xml:space="preserve">f your singly charged molecule is ionized by sodium gain, </w:t>
      </w:r>
      <w:r w:rsidR="00C70AA1">
        <w:t xml:space="preserve">you must </w:t>
      </w:r>
      <w:r w:rsidR="007A7565">
        <w:t>add a sodium</w:t>
      </w:r>
      <w:r w:rsidR="00077DE1">
        <w:t xml:space="preserve"> atom</w:t>
      </w:r>
      <w:r w:rsidR="007A7565">
        <w:t xml:space="preserve"> to the chemical formula</w:t>
      </w:r>
      <w:r w:rsidR="00C70AA1">
        <w:t xml:space="preserve"> </w:t>
      </w:r>
      <w:r w:rsidR="00077DE1">
        <w:t>you specify in the Skyline interface</w:t>
      </w:r>
      <w:r w:rsidR="007A7565">
        <w:t xml:space="preserve">.   (Note: </w:t>
      </w:r>
      <w:r w:rsidR="00077DE1">
        <w:t xml:space="preserve">It is </w:t>
      </w:r>
      <w:r w:rsidR="007A7565">
        <w:t xml:space="preserve">also possible to describe your transition list </w:t>
      </w:r>
      <w:r w:rsidR="00C70AA1">
        <w:t xml:space="preserve">completely </w:t>
      </w:r>
      <w:r w:rsidR="007A7565">
        <w:t xml:space="preserve">in terms of m/z </w:t>
      </w:r>
      <w:r w:rsidR="00C70AA1">
        <w:t>values</w:t>
      </w:r>
      <w:r w:rsidR="00077DE1">
        <w:t xml:space="preserve"> for both precursors and products</w:t>
      </w:r>
      <w:r w:rsidR="007A7565">
        <w:t>, but without a chemical formula Skyline can</w:t>
      </w:r>
      <w:r w:rsidR="00077DE1">
        <w:t>not</w:t>
      </w:r>
      <w:r w:rsidR="007A7565">
        <w:t xml:space="preserve"> provide isotopic distributions).</w:t>
      </w:r>
    </w:p>
    <w:p w:rsidR="00AE67A0" w:rsidRDefault="00AE67A0" w:rsidP="00AE67A0">
      <w:pPr>
        <w:pStyle w:val="Heading2"/>
      </w:pPr>
      <w:r>
        <w:t>Transition list insert</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 xml:space="preserve">On the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353C8E" w:rsidP="00C86489">
      <w:r>
        <w:rPr>
          <w:noProof/>
          <w:lang w:bidi="bo-CN"/>
        </w:rPr>
        <w:drawing>
          <wp:inline distT="0" distB="0" distL="0" distR="0" wp14:anchorId="728371DD" wp14:editId="37B414F9">
            <wp:extent cx="5943600" cy="204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533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353C8E" w:rsidP="00C86489">
      <w:r>
        <w:rPr>
          <w:noProof/>
          <w:lang w:bidi="bo-CN"/>
        </w:rPr>
        <w:lastRenderedPageBreak/>
        <w:drawing>
          <wp:inline distT="0" distB="0" distL="0" distR="0" wp14:anchorId="0D3DCF38" wp14:editId="174353BD">
            <wp:extent cx="59436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45335"/>
                    </a:xfrm>
                    <a:prstGeom prst="rect">
                      <a:avLst/>
                    </a:prstGeom>
                  </pic:spPr>
                </pic:pic>
              </a:graphicData>
            </a:graphic>
          </wp:inline>
        </w:drawing>
      </w:r>
    </w:p>
    <w:p w:rsidR="00DE5BBD" w:rsidRDefault="003A02DF" w:rsidP="00672317">
      <w:r>
        <w:t>In the transition list spreadsheet, you should find the following values</w:t>
      </w:r>
      <w:r w:rsidR="00DE5BBD">
        <w:t>:</w:t>
      </w:r>
    </w:p>
    <w:p w:rsidR="00DE5BBD" w:rsidRDefault="00DE5BBD" w:rsidP="00672317">
      <w:r w:rsidRPr="00DE5BBD">
        <w:rPr>
          <w:noProof/>
          <w:lang w:bidi="bo-CN"/>
        </w:rPr>
        <w:drawing>
          <wp:inline distT="0" distB="0" distL="0" distR="0" wp14:anchorId="7921D0AE" wp14:editId="214FABCF">
            <wp:extent cx="5943600" cy="291396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961"/>
                    </a:xfrm>
                    <a:prstGeom prst="rect">
                      <a:avLst/>
                    </a:prstGeom>
                    <a:noFill/>
                    <a:ln>
                      <a:noFill/>
                    </a:ln>
                  </pic:spPr>
                </pic:pic>
              </a:graphicData>
            </a:graphic>
          </wp:inline>
        </w:drawing>
      </w: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353C8E" w:rsidP="00672317">
      <w:r>
        <w:rPr>
          <w:noProof/>
          <w:lang w:bidi="bo-CN"/>
        </w:rPr>
        <w:lastRenderedPageBreak/>
        <w:drawing>
          <wp:inline distT="0" distB="0" distL="0" distR="0" wp14:anchorId="2DE3940E" wp14:editId="0EB3AE89">
            <wp:extent cx="59340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50CB3" w:rsidRPr="000E4159" w:rsidRDefault="00D50CB3" w:rsidP="000E4159">
      <w:pPr>
        <w:pStyle w:val="ListParagraph"/>
        <w:numPr>
          <w:ilvl w:val="0"/>
          <w:numId w:val="38"/>
        </w:numPr>
      </w:pPr>
      <w:r>
        <w:t xml:space="preserve">Click and drag each column header you want to move to the </w:t>
      </w:r>
      <w:r w:rsidR="00353C8E">
        <w:t>order matching the spreadsheet.</w:t>
      </w:r>
    </w:p>
    <w:p w:rsidR="00DE5BBD" w:rsidRDefault="00353C8E" w:rsidP="000E4159">
      <w:r>
        <w:t>The insert form should now appear as shown below</w:t>
      </w:r>
      <w:r w:rsidR="00BA46EB">
        <w:t>:</w:t>
      </w:r>
    </w:p>
    <w:p w:rsidR="00BA46EB" w:rsidRDefault="00353C8E" w:rsidP="00672317">
      <w:r>
        <w:rPr>
          <w:noProof/>
          <w:lang w:bidi="bo-CN"/>
        </w:rPr>
        <w:drawing>
          <wp:inline distT="0" distB="0" distL="0" distR="0" wp14:anchorId="44596D18" wp14:editId="35BB0198">
            <wp:extent cx="594360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4945"/>
                    </a:xfrm>
                    <a:prstGeom prst="rect">
                      <a:avLst/>
                    </a:prstGeom>
                  </pic:spPr>
                </pic:pic>
              </a:graphicData>
            </a:graphic>
          </wp:inline>
        </w:drawing>
      </w:r>
    </w:p>
    <w:p w:rsidR="00353C8E" w:rsidRDefault="00353C8E" w:rsidP="00672317">
      <w:r>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lastRenderedPageBreak/>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840C80" w:rsidP="00672317">
      <w:r>
        <w:rPr>
          <w:noProof/>
          <w:lang w:bidi="bo-CN"/>
        </w:rPr>
        <w:drawing>
          <wp:inline distT="0" distB="0" distL="0" distR="0" wp14:anchorId="7B285750" wp14:editId="55AA9F15">
            <wp:extent cx="5943600" cy="2734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34945"/>
                    </a:xfrm>
                    <a:prstGeom prst="rect">
                      <a:avLst/>
                    </a:prstGeom>
                  </pic:spPr>
                </pic:pic>
              </a:graphicData>
            </a:graphic>
          </wp:inline>
        </w:drawing>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72317">
      <w:r>
        <w:t>Your Skyline window should now look like:</w:t>
      </w:r>
    </w:p>
    <w:p w:rsidR="00BA46EB" w:rsidRDefault="00840C80" w:rsidP="00672317">
      <w:r>
        <w:rPr>
          <w:noProof/>
          <w:lang w:bidi="bo-CN"/>
        </w:rPr>
        <w:drawing>
          <wp:inline distT="0" distB="0" distL="0" distR="0" wp14:anchorId="65A04E25" wp14:editId="51E2C492">
            <wp:extent cx="5943600"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63365"/>
                    </a:xfrm>
                    <a:prstGeom prst="rect">
                      <a:avLst/>
                    </a:prstGeom>
                  </pic:spPr>
                </pic:pic>
              </a:graphicData>
            </a:graphic>
          </wp:inline>
        </w:drawing>
      </w:r>
    </w:p>
    <w:p w:rsidR="00BA46EB" w:rsidRDefault="00BA46EB" w:rsidP="00672317">
      <w:r>
        <w:lastRenderedPageBreak/>
        <w:t xml:space="preserve">Note that some of </w:t>
      </w:r>
      <w:r w:rsidR="00840C80">
        <w:t xml:space="preserve">the targets </w:t>
      </w:r>
      <w:r>
        <w:t>are light</w:t>
      </w:r>
      <w:r w:rsidR="00840C80">
        <w:t>-heavy</w:t>
      </w:r>
      <w:r>
        <w:t xml:space="preserve"> </w:t>
      </w:r>
      <w:r w:rsidR="00840C80">
        <w:t xml:space="preserve">isotope </w:t>
      </w:r>
      <w:r>
        <w:t>label pairs</w:t>
      </w:r>
      <w:r w:rsidR="00840C80">
        <w:t xml:space="preserve">, e.g. Methionine and d3-Methionine. If you are familiar with how Skyline </w:t>
      </w:r>
      <w:proofErr w:type="gramStart"/>
      <w:r w:rsidR="00840C80">
        <w:t>groups</w:t>
      </w:r>
      <w:proofErr w:type="gramEnd"/>
      <w:r w:rsidR="00840C80">
        <w:t xml:space="preserve"> isotope label type precursors within a single peptide element</w:t>
      </w:r>
      <w:r w:rsidR="000E4159">
        <w:t>,</w:t>
      </w:r>
      <w:r w:rsidR="00840C80">
        <w:t xml:space="preserve"> you may see this as a missing feature for small molecules</w:t>
      </w:r>
      <w:r>
        <w:t>.</w:t>
      </w:r>
      <w:r w:rsidR="000E4159">
        <w:t xml:space="preserve"> That should be remedied fairly soon.</w:t>
      </w:r>
    </w:p>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 xml:space="preserve">Save this document as “Amino Acid </w:t>
      </w:r>
      <w:proofErr w:type="spellStart"/>
      <w:r>
        <w:t>Metabolism.sky</w:t>
      </w:r>
      <w:proofErr w:type="spellEnd"/>
      <w:r>
        <w:t>”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3C3F78" w:rsidP="003C3F78">
      <w:pPr>
        <w:pStyle w:val="ListParagraph"/>
        <w:numPr>
          <w:ilvl w:val="0"/>
          <w:numId w:val="39"/>
        </w:numPr>
        <w:spacing w:after="160" w:line="256" w:lineRule="auto"/>
      </w:pPr>
      <w:r>
        <w:rPr>
          <w:bCs/>
        </w:rPr>
        <w:t xml:space="preserve">Click the </w:t>
      </w:r>
      <w:r>
        <w:rPr>
          <w:b/>
        </w:rPr>
        <w:t>OK</w:t>
      </w:r>
      <w:r>
        <w:rPr>
          <w:bCs/>
        </w:rPr>
        <w:t xml:space="preserve"> button in the </w:t>
      </w:r>
      <w:r>
        <w:rPr>
          <w:b/>
        </w:rPr>
        <w:t>Import Results</w:t>
      </w:r>
      <w:r>
        <w:rPr>
          <w:bCs/>
        </w:rPr>
        <w:t xml:space="preserve"> form to import single-injection replicates.</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3C3F78">
      <w:pPr>
        <w:spacing w:after="160" w:line="256" w:lineRule="auto"/>
      </w:pPr>
      <w:r>
        <w:t xml:space="preserve">The </w:t>
      </w:r>
      <w:r>
        <w:rPr>
          <w:b/>
          <w:bCs/>
        </w:rPr>
        <w:t>Import Results Files</w:t>
      </w:r>
      <w:r>
        <w:t xml:space="preserve"> form should look like:</w:t>
      </w:r>
    </w:p>
    <w:p w:rsidR="00BA46EB" w:rsidRDefault="003C3F78" w:rsidP="00672317">
      <w:r>
        <w:rPr>
          <w:noProof/>
          <w:lang w:bidi="bo-CN"/>
        </w:rPr>
        <w:drawing>
          <wp:inline distT="0" distB="0" distL="0" distR="0" wp14:anchorId="189FB8B5" wp14:editId="427DC1A2">
            <wp:extent cx="569595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5950" cy="4076700"/>
                    </a:xfrm>
                    <a:prstGeom prst="rect">
                      <a:avLst/>
                    </a:prstGeom>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lastRenderedPageBreak/>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 xml:space="preserve">ID15661_01_WAA263_3976_020415 – Minus </w:t>
      </w:r>
      <w:proofErr w:type="spellStart"/>
      <w:r w:rsidRPr="00AE67A0">
        <w:rPr>
          <w:sz w:val="20"/>
          <w:szCs w:val="20"/>
        </w:rPr>
        <w:t>Arg</w:t>
      </w:r>
      <w:proofErr w:type="spellEnd"/>
      <w:r w:rsidRPr="00AE67A0">
        <w:rPr>
          <w:sz w:val="20"/>
          <w:szCs w:val="20"/>
        </w:rPr>
        <w:t xml:space="preserve"> Sample 1</w:t>
      </w:r>
    </w:p>
    <w:p w:rsidR="00894450" w:rsidRPr="00AE67A0" w:rsidRDefault="00894450" w:rsidP="003C3F78">
      <w:pPr>
        <w:spacing w:after="0" w:line="240" w:lineRule="auto"/>
        <w:rPr>
          <w:sz w:val="20"/>
          <w:szCs w:val="20"/>
        </w:rPr>
      </w:pPr>
      <w:r w:rsidRPr="00AE67A0">
        <w:rPr>
          <w:sz w:val="20"/>
          <w:szCs w:val="20"/>
        </w:rPr>
        <w:t xml:space="preserve">ID15662_01_WAA263_3976_020415 – Minus </w:t>
      </w:r>
      <w:proofErr w:type="spellStart"/>
      <w:r w:rsidRPr="00AE67A0">
        <w:rPr>
          <w:sz w:val="20"/>
          <w:szCs w:val="20"/>
        </w:rPr>
        <w:t>Arg</w:t>
      </w:r>
      <w:proofErr w:type="spellEnd"/>
      <w:r w:rsidRPr="00AE67A0">
        <w:rPr>
          <w:sz w:val="20"/>
          <w:szCs w:val="20"/>
        </w:rPr>
        <w:t xml:space="preserve"> Sample 2</w:t>
      </w:r>
    </w:p>
    <w:p w:rsidR="00894450" w:rsidRPr="00AE67A0" w:rsidRDefault="00894450" w:rsidP="003C3F78">
      <w:pPr>
        <w:spacing w:after="0" w:line="240" w:lineRule="auto"/>
        <w:rPr>
          <w:sz w:val="20"/>
          <w:szCs w:val="20"/>
        </w:rPr>
      </w:pPr>
      <w:r w:rsidRPr="00AE67A0">
        <w:rPr>
          <w:sz w:val="20"/>
          <w:szCs w:val="20"/>
        </w:rPr>
        <w:t xml:space="preserve">ID15663_01_WAA263_3976_020415 – Minus </w:t>
      </w:r>
      <w:proofErr w:type="spellStart"/>
      <w:r w:rsidRPr="00AE67A0">
        <w:rPr>
          <w:sz w:val="20"/>
          <w:szCs w:val="20"/>
        </w:rPr>
        <w:t>Arg</w:t>
      </w:r>
      <w:proofErr w:type="spellEnd"/>
      <w:r w:rsidRPr="00AE67A0">
        <w:rPr>
          <w:sz w:val="20"/>
          <w:szCs w:val="20"/>
        </w:rPr>
        <w:t xml:space="preserve"> Sample 3</w:t>
      </w:r>
    </w:p>
    <w:p w:rsidR="00894450" w:rsidRPr="00AE67A0" w:rsidRDefault="00894450" w:rsidP="003C3F78">
      <w:pPr>
        <w:spacing w:after="0" w:line="240" w:lineRule="auto"/>
        <w:rPr>
          <w:sz w:val="20"/>
          <w:szCs w:val="20"/>
        </w:rPr>
      </w:pPr>
      <w:r w:rsidRPr="00AE67A0">
        <w:rPr>
          <w:sz w:val="20"/>
          <w:szCs w:val="20"/>
        </w:rPr>
        <w:t xml:space="preserve">ID15664_01_WAA263_3976_020415 – Minus </w:t>
      </w:r>
      <w:proofErr w:type="spellStart"/>
      <w:r w:rsidRPr="00AE67A0">
        <w:rPr>
          <w:sz w:val="20"/>
          <w:szCs w:val="20"/>
        </w:rPr>
        <w:t>Arg</w:t>
      </w:r>
      <w:proofErr w:type="spellEnd"/>
      <w:r w:rsidRPr="00AE67A0">
        <w:rPr>
          <w:sz w:val="20"/>
          <w:szCs w:val="20"/>
        </w:rPr>
        <w:t>, Minus Met Sample 1</w:t>
      </w:r>
    </w:p>
    <w:p w:rsidR="00894450" w:rsidRPr="00AE67A0" w:rsidRDefault="00894450" w:rsidP="003C3F78">
      <w:pPr>
        <w:spacing w:after="0" w:line="240" w:lineRule="auto"/>
        <w:rPr>
          <w:sz w:val="20"/>
          <w:szCs w:val="20"/>
        </w:rPr>
      </w:pPr>
      <w:r w:rsidRPr="00AE67A0">
        <w:rPr>
          <w:sz w:val="20"/>
          <w:szCs w:val="20"/>
        </w:rPr>
        <w:t xml:space="preserve">ID15665_01_WAA263_3976_020415 – Minus </w:t>
      </w:r>
      <w:proofErr w:type="spellStart"/>
      <w:r w:rsidRPr="00AE67A0">
        <w:rPr>
          <w:sz w:val="20"/>
          <w:szCs w:val="20"/>
        </w:rPr>
        <w:t>Arg</w:t>
      </w:r>
      <w:proofErr w:type="spellEnd"/>
      <w:r w:rsidRPr="00AE67A0">
        <w:rPr>
          <w:sz w:val="20"/>
          <w:szCs w:val="20"/>
        </w:rPr>
        <w:t>, Minus Met Sample 2</w:t>
      </w:r>
    </w:p>
    <w:p w:rsidR="00894450" w:rsidRPr="00AE67A0" w:rsidRDefault="00894450" w:rsidP="003C3F78">
      <w:pPr>
        <w:spacing w:after="0" w:line="240" w:lineRule="auto"/>
        <w:rPr>
          <w:sz w:val="20"/>
          <w:szCs w:val="20"/>
        </w:rPr>
      </w:pPr>
      <w:r w:rsidRPr="00AE67A0">
        <w:rPr>
          <w:sz w:val="20"/>
          <w:szCs w:val="20"/>
        </w:rPr>
        <w:t xml:space="preserve">ID15666_01_WAA263_3976_020415 – Minus </w:t>
      </w:r>
      <w:proofErr w:type="spellStart"/>
      <w:r w:rsidRPr="00AE67A0">
        <w:rPr>
          <w:sz w:val="20"/>
          <w:szCs w:val="20"/>
        </w:rPr>
        <w:t>Arg</w:t>
      </w:r>
      <w:proofErr w:type="spellEnd"/>
      <w:r w:rsidRPr="00AE67A0">
        <w:rPr>
          <w:sz w:val="20"/>
          <w:szCs w:val="20"/>
        </w:rPr>
        <w:t>, Minus Met Sample 3</w:t>
      </w:r>
    </w:p>
    <w:p w:rsidR="00894450" w:rsidRPr="00AE67A0" w:rsidRDefault="00894450" w:rsidP="003C3F78">
      <w:pPr>
        <w:spacing w:after="0" w:line="240" w:lineRule="auto"/>
        <w:rPr>
          <w:sz w:val="20"/>
          <w:szCs w:val="20"/>
        </w:rPr>
      </w:pPr>
      <w:r w:rsidRPr="00AE67A0">
        <w:rPr>
          <w:sz w:val="20"/>
          <w:szCs w:val="20"/>
        </w:rPr>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BB06B6" w:rsidRDefault="00BB06B6" w:rsidP="00BB06B6">
      <w:pPr>
        <w:spacing w:before="240"/>
      </w:pPr>
      <w:r>
        <w:t>The files should import within a matter of sec</w:t>
      </w:r>
      <w:bookmarkStart w:id="0" w:name="_GoBack"/>
      <w:bookmarkEnd w:id="0"/>
      <w:r>
        <w:t>onds, leaving your Skyline window looking like:</w:t>
      </w:r>
    </w:p>
    <w:p w:rsidR="00A375C7" w:rsidRDefault="00BB06B6" w:rsidP="00BB06B6">
      <w:pPr>
        <w:spacing w:before="240"/>
      </w:pPr>
      <w:r>
        <w:rPr>
          <w:noProof/>
          <w:lang w:bidi="bo-CN"/>
        </w:rPr>
        <w:lastRenderedPageBreak/>
        <w:drawing>
          <wp:inline distT="0" distB="0" distL="0" distR="0" wp14:anchorId="5085FD10" wp14:editId="1D790426">
            <wp:extent cx="5943600" cy="406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3365"/>
                    </a:xfrm>
                    <a:prstGeom prst="rect">
                      <a:avLst/>
                    </a:prstGeom>
                  </pic:spPr>
                </pic:pic>
              </a:graphicData>
            </a:graphic>
          </wp:inline>
        </w:drawing>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4F5A66">
      <w:pPr>
        <w:spacing w:before="240"/>
      </w:pPr>
      <w:r>
        <w:t>The Skyline window should now look something like this:</w:t>
      </w:r>
    </w:p>
    <w:p w:rsidR="009B773E" w:rsidRDefault="00BB06B6" w:rsidP="00394DFD">
      <w:pPr>
        <w:pStyle w:val="Heading1"/>
      </w:pPr>
      <w:r>
        <w:rPr>
          <w:noProof/>
          <w:lang w:bidi="bo-CN"/>
        </w:rPr>
        <w:lastRenderedPageBreak/>
        <w:drawing>
          <wp:inline distT="0" distB="0" distL="0" distR="0" wp14:anchorId="6825ED60" wp14:editId="1C89278B">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63365"/>
                    </a:xfrm>
                    <a:prstGeom prst="rect">
                      <a:avLst/>
                    </a:prstGeom>
                  </pic:spPr>
                </pic:pic>
              </a:graphicData>
            </a:graphic>
          </wp:inline>
        </w:drawing>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proofErr w:type="spellStart"/>
      <w:r w:rsidRPr="00C866E5">
        <w:rPr>
          <w:lang w:val="fr-FR"/>
        </w:rPr>
        <w:t>Bibliography</w:t>
      </w:r>
      <w:proofErr w:type="spellEnd"/>
    </w:p>
    <w:p w:rsidR="00C866E5" w:rsidRPr="00C866E5" w:rsidRDefault="00C866E5" w:rsidP="00C866E5">
      <w:pPr>
        <w:pStyle w:val="Bibliography"/>
      </w:pPr>
      <w:r>
        <w:fldChar w:fldCharType="begin"/>
      </w:r>
      <w:r w:rsidRPr="00AE67A0">
        <w:rPr>
          <w:lang w:val="fr-FR"/>
        </w:rPr>
        <w:instrText xml:space="preserve"> ADDIN ZOTERO_BIBL {"custom":[]} CSL_BIBLIOGRAPHY </w:instrText>
      </w:r>
      <w:r>
        <w:fldChar w:fldCharType="separate"/>
      </w:r>
      <w:r w:rsidRPr="00AE67A0">
        <w:rPr>
          <w:lang w:val="fr-FR"/>
        </w:rPr>
        <w:t>1.</w:t>
      </w:r>
      <w:r w:rsidRPr="00AE67A0">
        <w:rPr>
          <w:lang w:val="fr-FR"/>
        </w:rPr>
        <w:tab/>
        <w:t xml:space="preserve">Tang, X. </w:t>
      </w:r>
      <w:r w:rsidRPr="00AE67A0">
        <w:rPr>
          <w:i/>
          <w:iCs/>
          <w:lang w:val="fr-FR"/>
        </w:rPr>
        <w:t>et al.</w:t>
      </w:r>
      <w:r w:rsidRPr="00AE67A0">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9E" w:rsidRDefault="00281F9E" w:rsidP="00F726CD">
      <w:pPr>
        <w:spacing w:after="0" w:line="240" w:lineRule="auto"/>
      </w:pPr>
      <w:r>
        <w:separator/>
      </w:r>
    </w:p>
  </w:endnote>
  <w:endnote w:type="continuationSeparator" w:id="0">
    <w:p w:rsidR="00281F9E" w:rsidRDefault="00281F9E"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AE67A0">
      <w:rPr>
        <w:noProof/>
      </w:rPr>
      <w:t>9</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9E" w:rsidRDefault="00281F9E" w:rsidP="00F726CD">
      <w:pPr>
        <w:spacing w:after="0" w:line="240" w:lineRule="auto"/>
      </w:pPr>
      <w:r>
        <w:separator/>
      </w:r>
    </w:p>
  </w:footnote>
  <w:footnote w:type="continuationSeparator" w:id="0">
    <w:p w:rsidR="00281F9E" w:rsidRDefault="00281F9E"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80077"/>
    <w:rsid w:val="00180FC1"/>
    <w:rsid w:val="00183CA6"/>
    <w:rsid w:val="00186405"/>
    <w:rsid w:val="00186695"/>
    <w:rsid w:val="00191D79"/>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73EC"/>
    <w:rsid w:val="003E7A7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A93"/>
    <w:rsid w:val="009B3422"/>
    <w:rsid w:val="009B45D3"/>
    <w:rsid w:val="009B5A41"/>
    <w:rsid w:val="009B67BD"/>
    <w:rsid w:val="009B773E"/>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zip"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F055-0D6F-4D24-B87A-719B68A1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11924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brendanx</cp:lastModifiedBy>
  <cp:revision>3</cp:revision>
  <cp:lastPrinted>2013-11-01T17:12:00Z</cp:lastPrinted>
  <dcterms:created xsi:type="dcterms:W3CDTF">2015-04-10T00:13:00Z</dcterms:created>
  <dcterms:modified xsi:type="dcterms:W3CDTF">2015-04-10T01:41:00Z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