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bookmarkStart w:id="0" w:name="_GoBack"/>
      <w:bookmarkEnd w:id="0"/>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quadrupole mass spectrometers, Skyline continues to support these new methods of analysis for the instruments from the </w:t>
      </w:r>
      <w:r w:rsidR="00F83461">
        <w:t>original</w:t>
      </w:r>
      <w:r>
        <w:t xml:space="preserve"> four mass spectrometer vendors: AB SCIEX, Agilent, Thermo-Scientific and Waters</w:t>
      </w:r>
      <w:r w:rsidR="003D79B2">
        <w:t>, as well as Bruker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quadrupole mass spectrometers</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he resulting chromatograms provide quantitative data similar to the SRM data from triple quadrupole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A46D00"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DE2D27" w:rsidP="00813ABF">
      <w:r>
        <w:rPr>
          <w:noProof/>
        </w:rPr>
        <w:drawing>
          <wp:inline distT="0" distB="0" distL="0" distR="0" wp14:anchorId="4BAFA93B" wp14:editId="75B99744">
            <wp:extent cx="5943600" cy="3914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14775"/>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lastRenderedPageBreak/>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Bruker Daltonik and AB SCIEX.  For Agilent instruments and the Thermo Q Exactive,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DE2D27" w:rsidP="00BC5953">
      <w:r>
        <w:rPr>
          <w:noProof/>
        </w:rPr>
        <w:lastRenderedPageBreak/>
        <w:drawing>
          <wp:inline distT="0" distB="0" distL="0" distR="0" wp14:anchorId="46FEB6E7" wp14:editId="1DB48AE6">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DE2D27" w:rsidP="00597EC1">
      <w:r>
        <w:rPr>
          <w:noProof/>
        </w:rPr>
        <w:lastRenderedPageBreak/>
        <w:drawing>
          <wp:inline distT="0" distB="0" distL="0" distR="0" wp14:anchorId="3E7BDC64" wp14:editId="3BA271A7">
            <wp:extent cx="3914775" cy="5810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721E63" w:rsidRDefault="00721E63" w:rsidP="00597EC1">
      <w:r>
        <w:t>Note that when both MS1 and MS/MS filtering</w:t>
      </w:r>
      <w:r w:rsidR="004C5F7D">
        <w:t xml:space="preserve"> are enabled, all precursor ion</w:t>
      </w:r>
      <w:r>
        <w:t xml:space="preserve"> chromatograms will be extracted exclusively from MS1 scans, and all fragment ion chromatograms will be extracted exclusively from MS/MS scans.  If you want</w:t>
      </w:r>
      <w:r w:rsidR="004C5F7D">
        <w:t>ed</w:t>
      </w:r>
      <w:r>
        <w:t xml:space="preserve"> to see how precursor ions show up in the MS/MS scans, you would have to use a document with MS1 filtering disabled.</w:t>
      </w:r>
    </w:p>
    <w:p w:rsidR="00BB662F" w:rsidRDefault="00BB662F" w:rsidP="00597EC1">
      <w:r>
        <w:t>Because you will also be using peptide search data derived from searching the targeted MS/MS scans for this experiment:</w:t>
      </w:r>
    </w:p>
    <w:p w:rsidR="00BB662F" w:rsidRDefault="00BB662F" w:rsidP="00BB662F">
      <w:pPr>
        <w:pStyle w:val="ListParagraph"/>
        <w:numPr>
          <w:ilvl w:val="0"/>
          <w:numId w:val="36"/>
        </w:numPr>
      </w:pPr>
      <w:r>
        <w:t xml:space="preserve">Click </w:t>
      </w:r>
      <w:r>
        <w:rPr>
          <w:b/>
        </w:rPr>
        <w:t>Use only scans within 5 minutes of MS/MS IDs</w:t>
      </w:r>
      <w:r>
        <w:t>.</w:t>
      </w:r>
    </w:p>
    <w:p w:rsidR="00BB662F" w:rsidRDefault="00BB662F" w:rsidP="00BB662F">
      <w:pPr>
        <w:pStyle w:val="ListParagraph"/>
        <w:numPr>
          <w:ilvl w:val="0"/>
          <w:numId w:val="36"/>
        </w:numPr>
      </w:pPr>
      <w:r>
        <w:t>Change the extraction range from ‘5’ to ‘2’ minutes.</w:t>
      </w:r>
    </w:p>
    <w:p w:rsidR="001740A6" w:rsidRDefault="001740A6" w:rsidP="001740A6">
      <w:r>
        <w:lastRenderedPageBreak/>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D3DB2" w:rsidP="002D3DB2">
      <w:r>
        <w:rPr>
          <w:noProof/>
        </w:rPr>
        <w:drawing>
          <wp:inline distT="0" distB="0" distL="0" distR="0" wp14:anchorId="64C6A7A2" wp14:editId="5F5FB7AD">
            <wp:extent cx="391477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lastRenderedPageBreak/>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settings indicate that the single monoisotopic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t xml:space="preserve">The </w:t>
      </w:r>
      <w:r>
        <w:rPr>
          <w:b/>
        </w:rPr>
        <w:t>Filter</w:t>
      </w:r>
      <w:r>
        <w:t xml:space="preserve"> tab should now look like:</w:t>
      </w:r>
    </w:p>
    <w:p w:rsidR="008957D6" w:rsidRPr="008957D6" w:rsidRDefault="00DE2D27" w:rsidP="008957D6">
      <w:r>
        <w:rPr>
          <w:noProof/>
        </w:rPr>
        <w:lastRenderedPageBreak/>
        <w:drawing>
          <wp:inline distT="0" distB="0" distL="0" distR="0" wp14:anchorId="36696B92" wp14:editId="7DED3846">
            <wp:extent cx="3914775" cy="581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t>Hover the mouse cursor over the first precursor ‘582.3190++’, and click the drop-arrow to the right of the label.</w:t>
      </w:r>
    </w:p>
    <w:p w:rsidR="008957D6" w:rsidRDefault="008957D6" w:rsidP="008957D6">
      <w:pPr>
        <w:pStyle w:val="ListParagraph"/>
        <w:numPr>
          <w:ilvl w:val="0"/>
          <w:numId w:val="20"/>
        </w:numPr>
      </w:pPr>
      <w:r>
        <w:lastRenderedPageBreak/>
        <w:t>Check the precursor transition at the top of the pop-up pick-list that appears.</w:t>
      </w:r>
    </w:p>
    <w:p w:rsidR="008957D6" w:rsidRDefault="008957D6" w:rsidP="008957D6">
      <w:r>
        <w:t>The form should now look like this:</w:t>
      </w:r>
    </w:p>
    <w:p w:rsidR="008957D6" w:rsidRDefault="00DE2D27" w:rsidP="008957D6">
      <w:r>
        <w:rPr>
          <w:noProof/>
        </w:rPr>
        <w:drawing>
          <wp:inline distT="0" distB="0" distL="0" distR="0" wp14:anchorId="4DB78640" wp14:editId="14A62A2E">
            <wp:extent cx="3905250" cy="215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lastRenderedPageBreak/>
        <w:t>If you are doing this on a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Bruker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Exactive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ProteinName</w:t>
      </w:r>
    </w:p>
    <w:p w:rsidR="00F11930" w:rsidRDefault="00F11930" w:rsidP="00F11930">
      <w:pPr>
        <w:pStyle w:val="ListParagraph"/>
        <w:numPr>
          <w:ilvl w:val="1"/>
          <w:numId w:val="22"/>
        </w:numPr>
      </w:pPr>
      <w:r>
        <w:t>Peptides.Precursors.ModifiedSequence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F11930">
      <w:r>
        <w:t xml:space="preserve">The </w:t>
      </w:r>
      <w:r>
        <w:rPr>
          <w:b/>
        </w:rPr>
        <w:t>Edit Report</w:t>
      </w:r>
      <w:r>
        <w:t xml:space="preserve"> form should now look like:</w:t>
      </w:r>
    </w:p>
    <w:p w:rsidR="00F11930" w:rsidRDefault="00DE2D27" w:rsidP="00F11930">
      <w:r>
        <w:rPr>
          <w:noProof/>
        </w:rPr>
        <w:drawing>
          <wp:inline distT="0" distB="0" distL="0" distR="0" wp14:anchorId="08ABBE3C" wp14:editId="072BC0CB">
            <wp:extent cx="5943600" cy="4135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3575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‘PrecursorMz’ column header.</w:t>
      </w:r>
    </w:p>
    <w:p w:rsidR="00F11930" w:rsidRDefault="00F11930" w:rsidP="00F11930">
      <w:r>
        <w:t xml:space="preserve">The </w:t>
      </w:r>
      <w:r>
        <w:rPr>
          <w:b/>
        </w:rPr>
        <w:t>Preview Report</w:t>
      </w:r>
      <w:r>
        <w:t xml:space="preserve"> form should now look like this:</w:t>
      </w:r>
    </w:p>
    <w:p w:rsidR="00F11930" w:rsidRDefault="00DE2D27" w:rsidP="00F11930">
      <w:r>
        <w:rPr>
          <w:noProof/>
        </w:rPr>
        <w:lastRenderedPageBreak/>
        <w:drawing>
          <wp:inline distT="0" distB="0" distL="0" distR="0" wp14:anchorId="74F18CAB" wp14:editId="71AE847D">
            <wp:extent cx="5105400" cy="3028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5400" cy="3028950"/>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6A5041" w:rsidP="006A5041">
      <w:r>
        <w:rPr>
          <w:noProof/>
        </w:rPr>
        <w:lastRenderedPageBreak/>
        <w:drawing>
          <wp:inline distT="0" distB="0" distL="0" distR="0" wp14:anchorId="36CE4ABC" wp14:editId="2315E777">
            <wp:extent cx="40386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8600" cy="4610100"/>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6255DC" w:rsidP="006255DC">
      <w:r>
        <w:rPr>
          <w:noProof/>
        </w:rPr>
        <w:lastRenderedPageBreak/>
        <w:drawing>
          <wp:inline distT="0" distB="0" distL="0" distR="0" wp14:anchorId="4B62E4DC" wp14:editId="158EE9DF">
            <wp:extent cx="4562475" cy="465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62475" cy="465772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Skyline begins building a spectral library from the results of a Sequest/Percolator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041558" w:rsidP="006255DC">
      <w:r>
        <w:rPr>
          <w:noProof/>
        </w:rPr>
        <w:lastRenderedPageBreak/>
        <w:drawing>
          <wp:inline distT="0" distB="0" distL="0" distR="0" wp14:anchorId="4E17B000" wp14:editId="76D8D4C8">
            <wp:extent cx="3981450" cy="4524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145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426CFE" w:rsidP="00F3796D">
      <w:r>
        <w:rPr>
          <w:noProof/>
        </w:rPr>
        <w:lastRenderedPageBreak/>
        <w:drawing>
          <wp:inline distT="0" distB="0" distL="0" distR="0" wp14:anchorId="7F635706" wp14:editId="45697435">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6616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426CFE" w:rsidP="003636EC">
      <w:r>
        <w:rPr>
          <w:noProof/>
        </w:rPr>
        <w:lastRenderedPageBreak/>
        <w:drawing>
          <wp:inline distT="0" distB="0" distL="0" distR="0">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CD38E9" w:rsidP="00CD38E9">
      <w:r>
        <w:rPr>
          <w:noProof/>
        </w:rPr>
        <w:lastRenderedPageBreak/>
        <w:drawing>
          <wp:inline distT="0" distB="0" distL="0" distR="0">
            <wp:extent cx="5534025" cy="4781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4781550"/>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which is not far from the expected 4:1 ratio, but for the precursor ions extracted from MS1 scans, the 80 fmol area is about 6 x 10</w:t>
      </w:r>
      <w:r>
        <w:rPr>
          <w:vertAlign w:val="superscript"/>
        </w:rPr>
        <w:t>6</w:t>
      </w:r>
      <w:r>
        <w:t xml:space="preserve"> and the 20 fmol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If you reset the peak integration boundaries in the 20 fmol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or quite close to ¼ of the 80 fmol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Default="00E634DE" w:rsidP="000D4180">
      <w:r>
        <w:rPr>
          <w:noProof/>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centroided, though Skyline full-scan filtering works equally well with profile scans.</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If you actually tried this, use Undo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F60354" w:rsidP="00E63779">
      <w:r>
        <w:rPr>
          <w:noProof/>
        </w:rPr>
        <w:lastRenderedPageBreak/>
        <w:drawing>
          <wp:inline distT="0" distB="0" distL="0" distR="0" wp14:anchorId="2155D86F" wp14:editId="08AE30D7">
            <wp:extent cx="3914775" cy="5810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63779" w:rsidRDefault="00E63779" w:rsidP="00E63779">
      <w:r>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F60354" w:rsidP="001C473D">
      <w:r>
        <w:rPr>
          <w:noProof/>
        </w:rPr>
        <w:lastRenderedPageBreak/>
        <w:drawing>
          <wp:inline distT="0" distB="0" distL="0" distR="0" wp14:anchorId="6A9019DC" wp14:editId="7D28701A">
            <wp:extent cx="3914775" cy="5810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rPr>
        <w:lastRenderedPageBreak/>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Pr>
          <w:b/>
        </w:rPr>
        <w:t>Use only scans in retention time scheduling windows</w:t>
      </w:r>
      <w:r>
        <w:t xml:space="preserve"> option.</w:t>
      </w:r>
    </w:p>
    <w:p w:rsidR="00072758" w:rsidRDefault="00072758" w:rsidP="00072758">
      <w:r>
        <w:t xml:space="preserve">The </w:t>
      </w:r>
      <w:r>
        <w:rPr>
          <w:b/>
        </w:rPr>
        <w:t>Transition Settings</w:t>
      </w:r>
      <w:r>
        <w:t xml:space="preserve"> form should look like:</w:t>
      </w:r>
    </w:p>
    <w:p w:rsidR="00072758" w:rsidRDefault="00072758" w:rsidP="00072758">
      <w:r>
        <w:rPr>
          <w:noProof/>
        </w:rPr>
        <w:lastRenderedPageBreak/>
        <w:drawing>
          <wp:inline distT="0" distB="0" distL="0" distR="0" wp14:anchorId="0AA53F5F" wp14:editId="4DE83A67">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476905" w:rsidP="00476905">
      <w:r>
        <w:rPr>
          <w:noProof/>
        </w:rPr>
        <w:drawing>
          <wp:inline distT="0" distB="0" distL="0" distR="0">
            <wp:extent cx="4857750" cy="4577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0893" cy="4580006"/>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t>This should make the chromatograms look like:</w:t>
      </w:r>
    </w:p>
    <w:p w:rsidR="002C1B5D" w:rsidRPr="00072758" w:rsidRDefault="002C1B5D" w:rsidP="002C1B5D">
      <w:r>
        <w:rPr>
          <w:noProof/>
        </w:rPr>
        <w:lastRenderedPageBreak/>
        <w:drawing>
          <wp:inline distT="0" distB="0" distL="0" distR="0">
            <wp:extent cx="4876800" cy="45949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975" cy="4604581"/>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A51077" w:rsidP="0034004F">
      <w:r>
        <w:rPr>
          <w:noProof/>
        </w:rPr>
        <w:lastRenderedPageBreak/>
        <w:drawing>
          <wp:inline distT="0" distB="0" distL="0" distR="0">
            <wp:extent cx="5943600" cy="456599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65991"/>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lastRenderedPageBreak/>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A51077" w:rsidP="009417D8">
      <w:r>
        <w:rPr>
          <w:noProof/>
        </w:rPr>
        <w:drawing>
          <wp:inline distT="0" distB="0" distL="0" distR="0">
            <wp:extent cx="5943600" cy="46330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633003"/>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A51077" w:rsidP="006E3986">
      <w:r>
        <w:rPr>
          <w:noProof/>
        </w:rPr>
        <w:lastRenderedPageBreak/>
        <w:drawing>
          <wp:inline distT="0" distB="0" distL="0" distR="0" wp14:anchorId="54062BE3" wp14:editId="2FF191E3">
            <wp:extent cx="5943600" cy="4051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5193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r>
        <w:rPr>
          <w:noProof/>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5EC" w:rsidRDefault="00AC55EC" w:rsidP="00F726CD">
      <w:pPr>
        <w:spacing w:after="0" w:line="240" w:lineRule="auto"/>
      </w:pPr>
      <w:r>
        <w:separator/>
      </w:r>
    </w:p>
  </w:endnote>
  <w:endnote w:type="continuationSeparator" w:id="0">
    <w:p w:rsidR="00AC55EC" w:rsidRDefault="00AC55E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A46D00">
      <w:rPr>
        <w:noProof/>
      </w:rPr>
      <w:t>4</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5EC" w:rsidRDefault="00AC55EC" w:rsidP="00F726CD">
      <w:pPr>
        <w:spacing w:after="0" w:line="240" w:lineRule="auto"/>
      </w:pPr>
      <w:r>
        <w:separator/>
      </w:r>
    </w:p>
  </w:footnote>
  <w:footnote w:type="continuationSeparator" w:id="0">
    <w:p w:rsidR="00AC55EC" w:rsidRDefault="00AC55EC"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30"/>
  </w:num>
  <w:num w:numId="4">
    <w:abstractNumId w:val="24"/>
  </w:num>
  <w:num w:numId="5">
    <w:abstractNumId w:val="8"/>
  </w:num>
  <w:num w:numId="6">
    <w:abstractNumId w:val="31"/>
  </w:num>
  <w:num w:numId="7">
    <w:abstractNumId w:val="39"/>
  </w:num>
  <w:num w:numId="8">
    <w:abstractNumId w:val="1"/>
  </w:num>
  <w:num w:numId="9">
    <w:abstractNumId w:val="20"/>
  </w:num>
  <w:num w:numId="10">
    <w:abstractNumId w:val="15"/>
  </w:num>
  <w:num w:numId="11">
    <w:abstractNumId w:val="37"/>
  </w:num>
  <w:num w:numId="12">
    <w:abstractNumId w:val="34"/>
  </w:num>
  <w:num w:numId="13">
    <w:abstractNumId w:val="2"/>
  </w:num>
  <w:num w:numId="14">
    <w:abstractNumId w:val="36"/>
  </w:num>
  <w:num w:numId="15">
    <w:abstractNumId w:val="5"/>
  </w:num>
  <w:num w:numId="16">
    <w:abstractNumId w:val="17"/>
  </w:num>
  <w:num w:numId="17">
    <w:abstractNumId w:val="9"/>
  </w:num>
  <w:num w:numId="18">
    <w:abstractNumId w:val="25"/>
  </w:num>
  <w:num w:numId="19">
    <w:abstractNumId w:val="28"/>
  </w:num>
  <w:num w:numId="20">
    <w:abstractNumId w:val="33"/>
  </w:num>
  <w:num w:numId="21">
    <w:abstractNumId w:val="16"/>
  </w:num>
  <w:num w:numId="22">
    <w:abstractNumId w:val="29"/>
  </w:num>
  <w:num w:numId="23">
    <w:abstractNumId w:val="22"/>
  </w:num>
  <w:num w:numId="24">
    <w:abstractNumId w:val="26"/>
  </w:num>
  <w:num w:numId="25">
    <w:abstractNumId w:val="7"/>
  </w:num>
  <w:num w:numId="26">
    <w:abstractNumId w:val="0"/>
  </w:num>
  <w:num w:numId="27">
    <w:abstractNumId w:val="4"/>
  </w:num>
  <w:num w:numId="28">
    <w:abstractNumId w:val="21"/>
  </w:num>
  <w:num w:numId="29">
    <w:abstractNumId w:val="42"/>
  </w:num>
  <w:num w:numId="30">
    <w:abstractNumId w:val="38"/>
  </w:num>
  <w:num w:numId="31">
    <w:abstractNumId w:val="41"/>
  </w:num>
  <w:num w:numId="32">
    <w:abstractNumId w:val="35"/>
  </w:num>
  <w:num w:numId="33">
    <w:abstractNumId w:val="40"/>
  </w:num>
  <w:num w:numId="34">
    <w:abstractNumId w:val="23"/>
  </w:num>
  <w:num w:numId="35">
    <w:abstractNumId w:val="14"/>
  </w:num>
  <w:num w:numId="36">
    <w:abstractNumId w:val="27"/>
  </w:num>
  <w:num w:numId="37">
    <w:abstractNumId w:val="11"/>
  </w:num>
  <w:num w:numId="38">
    <w:abstractNumId w:val="32"/>
  </w:num>
  <w:num w:numId="39">
    <w:abstractNumId w:val="3"/>
  </w:num>
  <w:num w:numId="40">
    <w:abstractNumId w:val="19"/>
  </w:num>
  <w:num w:numId="41">
    <w:abstractNumId w:val="12"/>
  </w:num>
  <w:num w:numId="42">
    <w:abstractNumId w:val="6"/>
  </w:num>
  <w:num w:numId="43">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7D35"/>
    <w:rsid w:val="000E7F4A"/>
    <w:rsid w:val="000F0530"/>
    <w:rsid w:val="000F2F83"/>
    <w:rsid w:val="000F3225"/>
    <w:rsid w:val="001003D1"/>
    <w:rsid w:val="0010065A"/>
    <w:rsid w:val="00100E29"/>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30D8"/>
    <w:rsid w:val="00710BB0"/>
    <w:rsid w:val="00710D7E"/>
    <w:rsid w:val="0071127F"/>
    <w:rsid w:val="00712BB5"/>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A4FEC-A5EB-497E-8E8F-1E9AEDFF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40</Pages>
  <Words>5310</Words>
  <Characters>28296</Characters>
  <Application>Microsoft Office Word</Application>
  <DocSecurity>0</DocSecurity>
  <Lines>235</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33539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brendanx</cp:lastModifiedBy>
  <cp:revision>18</cp:revision>
  <cp:lastPrinted>2012-05-07T07:00:00Z</cp:lastPrinted>
  <dcterms:created xsi:type="dcterms:W3CDTF">2013-09-12T09:04:00Z</dcterms:created>
  <dcterms:modified xsi:type="dcterms:W3CDTF">2013-11-01T17:13:00Z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