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0"/>
        <w:rPr/>
      </w:pPr>
      <w:r>
        <w:rPr/>
      </w:r>
    </w:p>
    <w:p>
      <w:pPr>
        <w:pStyle w:val="Normal"/>
        <w:rPr/>
      </w:pPr>
      <w:r>
        <w:rPr>
          <w:rFonts w:eastAsia="Arial" w:cs="Arial"/>
          <w:b/>
          <w:bCs/>
          <w:color w:val="1F445F"/>
          <w:sz w:val="48"/>
          <w:szCs w:val="48"/>
        </w:rPr>
        <w:t>STATEMENT OF WORK</w:t>
      </w:r>
    </w:p>
    <w:p>
      <w:pPr>
        <w:pStyle w:val="Normal"/>
        <w:spacing w:before="60" w:after="0"/>
        <w:rPr/>
      </w:pPr>
      <w:r>
        <w:rPr>
          <w:rFonts w:eastAsia="Arial" w:cs="Arial"/>
          <w:color w:val="4E99D4"/>
          <w:sz w:val="32"/>
          <w:szCs w:val="32"/>
        </w:rPr>
        <w:t>Website Rebuild</w:t>
      </w:r>
    </w:p>
    <w:p>
      <w:pPr>
        <w:pStyle w:val="Normal"/>
        <w:spacing w:before="240" w:after="0"/>
        <w:rPr/>
      </w:pPr>
      <w:r>
        <w:rPr/>
      </w:r>
    </w:p>
    <w:p>
      <w:pPr>
        <w:pStyle w:val="Normal"/>
        <w:pBdr>
          <w:bottom w:val="single" w:sz="4" w:space="0" w:color="1F445F"/>
        </w:pBdr>
        <w:spacing w:before="0" w:after="160"/>
        <w:rPr/>
      </w:pPr>
      <w:r>
        <w:rPr/>
      </w:r>
    </w:p>
    <w:tbl>
      <w:tblPr>
        <w:tblW w:w="9026" w:type="dxa"/>
        <w:jc w:val="start"/>
        <w:tblInd w:w="0" w:type="dxa"/>
        <w:tblLayout w:type="fixed"/>
        <w:tblCellMar>
          <w:top w:w="60" w:type="dxa"/>
          <w:start w:w="108" w:type="dxa"/>
          <w:bottom w:w="60" w:type="dxa"/>
          <w:end w:w="108" w:type="dxa"/>
        </w:tblCellMar>
      </w:tblPr>
      <w:tblGrid>
        <w:gridCol w:w="2400"/>
        <w:gridCol w:w="6626"/>
      </w:tblGrid>
      <w:tr>
        <w:trPr/>
        <w:tc>
          <w:tcPr>
            <w:tcW w:w="2400" w:type="dxa"/>
            <w:tcBorders/>
          </w:tcPr>
          <w:p>
            <w:pPr>
              <w:pStyle w:val="Normal"/>
              <w:rPr/>
            </w:pPr>
            <w:r>
              <w:rPr>
                <w:rFonts w:eastAsia="Arial" w:cs="Arial"/>
                <w:b/>
                <w:bCs/>
                <w:color w:val="1F445F"/>
                <w:sz w:val="20"/>
                <w:szCs w:val="20"/>
              </w:rPr>
              <w:t>Client</w:t>
            </w:r>
          </w:p>
        </w:tc>
        <w:tc>
          <w:tcPr>
            <w:tcW w:w="6626" w:type="dxa"/>
            <w:tcBorders/>
          </w:tcPr>
          <w:p>
            <w:pPr>
              <w:pStyle w:val="Normal"/>
              <w:rPr/>
            </w:pPr>
            <w:r>
              <w:rPr>
                <w:rFonts w:eastAsia="Arial" w:cs="Arial"/>
                <w:color w:val="2C3345"/>
                <w:sz w:val="20"/>
                <w:szCs w:val="20"/>
              </w:rPr>
              <w:t>Kleen Up Solar (Pty) Ltd  |  Gareth Hayden</w:t>
            </w:r>
          </w:p>
        </w:tc>
      </w:tr>
      <w:tr>
        <w:trPr/>
        <w:tc>
          <w:tcPr>
            <w:tcW w:w="2400" w:type="dxa"/>
            <w:tcBorders/>
          </w:tcPr>
          <w:p>
            <w:pPr>
              <w:pStyle w:val="Normal"/>
              <w:rPr/>
            </w:pPr>
            <w:r>
              <w:rPr>
                <w:rFonts w:eastAsia="Arial" w:cs="Arial"/>
                <w:b/>
                <w:bCs/>
                <w:color w:val="1F445F"/>
                <w:sz w:val="20"/>
                <w:szCs w:val="20"/>
              </w:rPr>
              <w:t>Service provider</w:t>
            </w:r>
          </w:p>
        </w:tc>
        <w:tc>
          <w:tcPr>
            <w:tcW w:w="6626" w:type="dxa"/>
            <w:tcBorders/>
          </w:tcPr>
          <w:p>
            <w:pPr>
              <w:pStyle w:val="Normal"/>
              <w:rPr/>
            </w:pPr>
            <w:r>
              <w:rPr>
                <w:rFonts w:eastAsia="Arial" w:cs="Arial"/>
                <w:color w:val="2C3345"/>
                <w:sz w:val="20"/>
                <w:szCs w:val="20"/>
              </w:rPr>
              <w:t>Underbite Capital (Pty) Ltd  |  Stuart Black and Tomas Anema</w:t>
            </w:r>
          </w:p>
        </w:tc>
      </w:tr>
      <w:tr>
        <w:trPr/>
        <w:tc>
          <w:tcPr>
            <w:tcW w:w="2400" w:type="dxa"/>
            <w:tcBorders/>
          </w:tcPr>
          <w:p>
            <w:pPr>
              <w:pStyle w:val="Normal"/>
              <w:rPr/>
            </w:pPr>
            <w:r>
              <w:rPr>
                <w:rFonts w:eastAsia="Arial" w:cs="Arial"/>
                <w:b/>
                <w:bCs/>
                <w:color w:val="1F445F"/>
                <w:sz w:val="20"/>
                <w:szCs w:val="20"/>
              </w:rPr>
              <w:t>Date</w:t>
            </w:r>
          </w:p>
        </w:tc>
        <w:tc>
          <w:tcPr>
            <w:tcW w:w="6626" w:type="dxa"/>
            <w:tcBorders/>
          </w:tcPr>
          <w:p>
            <w:pPr>
              <w:pStyle w:val="Normal"/>
              <w:rPr/>
            </w:pPr>
            <w:r>
              <w:rPr>
                <w:rFonts w:eastAsia="Arial" w:cs="Arial"/>
                <w:color w:val="2C3345"/>
                <w:sz w:val="20"/>
                <w:szCs w:val="20"/>
              </w:rPr>
              <w:t>11 May 2026</w:t>
            </w:r>
          </w:p>
        </w:tc>
      </w:tr>
    </w:tbl>
    <w:p>
      <w:pPr>
        <w:pStyle w:val="Heading1"/>
        <w:spacing w:before="360" w:after="120"/>
        <w:rPr/>
      </w:pPr>
      <w:r>
        <w:rPr>
          <w:rFonts w:eastAsia="Arial" w:cs="Arial" w:ascii="Arial" w:hAnsi="Arial"/>
          <w:b/>
          <w:bCs/>
          <w:color w:val="1F445F"/>
          <w:sz w:val="28"/>
          <w:szCs w:val="28"/>
        </w:rPr>
        <w:t>1. Overview</w:t>
      </w:r>
    </w:p>
    <w:p>
      <w:pPr>
        <w:pStyle w:val="Normal"/>
        <w:spacing w:before="0" w:after="140"/>
        <w:rPr/>
      </w:pPr>
      <w:r>
        <w:rPr>
          <w:rFonts w:eastAsia="Arial" w:cs="Arial"/>
          <w:color w:val="2C3345"/>
          <w:sz w:val="22"/>
          <w:szCs w:val="22"/>
        </w:rPr>
        <w:t>Kleen Up Solar operates a commercial solar operations and maintenance business from Cape Town and Pretoria, serving asset owners, EPCs, PPA holders, and insurers across South Africa. The current website (kleenup.solar) is built on GoHighLevel and does not reflect the standard of the business it represents. It contains broken links, duplicate pages, dev artefacts in live copy, and no path to purchase outside a generic contact form.</w:t>
      </w:r>
    </w:p>
    <w:p>
      <w:pPr>
        <w:pStyle w:val="Normal"/>
        <w:spacing w:before="0" w:after="140"/>
        <w:rPr/>
      </w:pPr>
      <w:r>
        <w:rPr>
          <w:rFonts w:eastAsia="Arial" w:cs="Arial"/>
          <w:color w:val="2C3345"/>
          <w:sz w:val="22"/>
          <w:szCs w:val="22"/>
        </w:rPr>
        <w:t>Underbite Capital is engaged to rebuild the site from the ground up as a lead generation asset, with the thermal drone inspection service as the primary commercial objective. The rebuild will be delivered as static HTML files hosted on Netlify, using the domain kleenup.solar.</w:t>
      </w:r>
    </w:p>
    <w:p>
      <w:pPr>
        <w:pStyle w:val="Heading1"/>
        <w:spacing w:before="360" w:after="120"/>
        <w:rPr/>
      </w:pPr>
      <w:r>
        <w:rPr>
          <w:rFonts w:eastAsia="Arial" w:cs="Arial" w:ascii="Arial" w:hAnsi="Arial"/>
          <w:b/>
          <w:bCs/>
          <w:color w:val="1F445F"/>
          <w:sz w:val="28"/>
          <w:szCs w:val="28"/>
        </w:rPr>
        <w:t>2. Website Map</w:t>
      </w:r>
    </w:p>
    <w:p>
      <w:pPr>
        <w:pStyle w:val="Normal"/>
        <w:spacing w:before="0" w:after="140"/>
        <w:rPr>
          <w:sz w:val="21"/>
          <w:szCs w:val="21"/>
        </w:rPr>
      </w:pPr>
      <w:r>
        <w:rPr>
          <w:rFonts w:eastAsia="Arial" w:cs="Arial"/>
          <w:color w:val="2C3345"/>
          <w:sz w:val="21"/>
          <w:szCs w:val="21"/>
        </w:rPr>
        <w:t>The following seven pages are in scope. All other pages are excluded and fall under Phase 2.</w:t>
      </w:r>
    </w:p>
    <w:p>
      <w:pPr>
        <w:pStyle w:val="Normal"/>
        <w:spacing w:before="160" w:after="0"/>
        <w:rPr/>
      </w:pPr>
      <w:r>
        <w:rPr/>
      </w:r>
    </w:p>
    <w:tbl>
      <w:tblPr>
        <w:tblW w:w="9026" w:type="dxa"/>
        <w:jc w:val="start"/>
        <w:tblInd w:w="0" w:type="dxa"/>
        <w:tblLayout w:type="fixed"/>
        <w:tblCellMar>
          <w:top w:w="100" w:type="dxa"/>
          <w:start w:w="140" w:type="dxa"/>
          <w:bottom w:w="100" w:type="dxa"/>
          <w:end w:w="140" w:type="dxa"/>
        </w:tblCellMar>
      </w:tblPr>
      <w:tblGrid>
        <w:gridCol w:w="2799"/>
        <w:gridCol w:w="2800"/>
        <w:gridCol w:w="3427"/>
      </w:tblGrid>
      <w:tr>
        <w:trPr>
          <w:tblHeader w:val="true"/>
        </w:trPr>
        <w:tc>
          <w:tcPr>
            <w:tcW w:w="2799"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Page</w:t>
            </w:r>
          </w:p>
        </w:tc>
        <w:tc>
          <w:tcPr>
            <w:tcW w:w="2800"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URL</w:t>
            </w:r>
          </w:p>
        </w:tc>
        <w:tc>
          <w:tcPr>
            <w:tcW w:w="3427"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Purpose</w:t>
            </w:r>
          </w:p>
        </w:tc>
      </w:tr>
      <w:tr>
        <w:trPr/>
        <w:tc>
          <w:tcPr>
            <w:tcW w:w="2799"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Homepage</w:t>
            </w:r>
          </w:p>
        </w:tc>
        <w:tc>
          <w:tcPr>
            <w:tcW w:w="2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w:t>
            </w:r>
          </w:p>
        </w:tc>
        <w:tc>
          <w:tcPr>
            <w:tcW w:w="3427"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Brand anchor. Stats bar, client logo bar, thermal inspection as lead CTA.</w:t>
            </w:r>
          </w:p>
        </w:tc>
      </w:tr>
      <w:tr>
        <w:trPr/>
        <w:tc>
          <w:tcPr>
            <w:tcW w:w="2799"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Thermal Inspection</w:t>
            </w:r>
          </w:p>
        </w:tc>
        <w:tc>
          <w:tcPr>
            <w:tcW w:w="2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/thermal</w:t>
            </w:r>
          </w:p>
        </w:tc>
        <w:tc>
          <w:tcPr>
            <w:tcW w:w="3427"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Primary revenue page. Quote calculator, sample report, drone-specific FAQ, lead capture form.</w:t>
            </w:r>
          </w:p>
        </w:tc>
      </w:tr>
      <w:tr>
        <w:trPr/>
        <w:tc>
          <w:tcPr>
            <w:tcW w:w="2799"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Services</w:t>
            </w:r>
          </w:p>
        </w:tc>
        <w:tc>
          <w:tcPr>
            <w:tcW w:w="2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/services</w:t>
            </w:r>
          </w:p>
        </w:tc>
        <w:tc>
          <w:tcPr>
            <w:tcW w:w="3427"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Overview of all four services. Thermal as lead service, cleaning and consultancy secondary.</w:t>
            </w:r>
          </w:p>
        </w:tc>
      </w:tr>
      <w:tr>
        <w:trPr/>
        <w:tc>
          <w:tcPr>
            <w:tcW w:w="2799"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About</w:t>
            </w:r>
          </w:p>
        </w:tc>
        <w:tc>
          <w:tcPr>
            <w:tcW w:w="2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/about</w:t>
            </w:r>
          </w:p>
        </w:tc>
        <w:tc>
          <w:tcPr>
            <w:tcW w:w="3427"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Founder bio, photo, certifications, and company credentials.</w:t>
            </w:r>
          </w:p>
        </w:tc>
      </w:tr>
      <w:tr>
        <w:trPr/>
        <w:tc>
          <w:tcPr>
            <w:tcW w:w="2799"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Contact</w:t>
            </w:r>
          </w:p>
        </w:tc>
        <w:tc>
          <w:tcPr>
            <w:tcW w:w="2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/contact</w:t>
            </w:r>
          </w:p>
        </w:tc>
        <w:tc>
          <w:tcPr>
            <w:tcW w:w="3427"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Phone, email, physical addresses, business hours, map embeds.</w:t>
            </w:r>
          </w:p>
        </w:tc>
      </w:tr>
      <w:tr>
        <w:trPr/>
        <w:tc>
          <w:tcPr>
            <w:tcW w:w="2799"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FAQ</w:t>
            </w:r>
          </w:p>
        </w:tc>
        <w:tc>
          <w:tcPr>
            <w:tcW w:w="2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/faq</w:t>
            </w:r>
          </w:p>
        </w:tc>
        <w:tc>
          <w:tcPr>
            <w:tcW w:w="3427"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Categorised Q and A across four topics: Thermal Drone, Panel Cleaning, Pricing, Working With Us.</w:t>
            </w:r>
          </w:p>
        </w:tc>
      </w:tr>
      <w:tr>
        <w:trPr/>
        <w:tc>
          <w:tcPr>
            <w:tcW w:w="2799"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Privacy Policy</w:t>
            </w:r>
          </w:p>
        </w:tc>
        <w:tc>
          <w:tcPr>
            <w:tcW w:w="2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/privacy</w:t>
            </w:r>
          </w:p>
        </w:tc>
        <w:tc>
          <w:tcPr>
            <w:tcW w:w="3427"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POPIA-compliant data notice. Required by South African law.</w:t>
            </w:r>
          </w:p>
        </w:tc>
      </w:tr>
    </w:tbl>
    <w:p>
      <w:pPr>
        <w:pStyle w:val="Heading1"/>
        <w:spacing w:before="360" w:after="120"/>
        <w:rPr/>
      </w:pPr>
      <w:r>
        <w:rPr>
          <w:rFonts w:eastAsia="Arial" w:cs="Arial" w:ascii="Arial" w:hAnsi="Arial"/>
          <w:b/>
          <w:bCs/>
          <w:color w:val="1F445F"/>
          <w:sz w:val="28"/>
          <w:szCs w:val="28"/>
        </w:rPr>
        <w:t>3. Scope of Work</w:t>
      </w:r>
    </w:p>
    <w:p>
      <w:pPr>
        <w:pStyle w:val="Heading2"/>
        <w:spacing w:before="240" w:after="80"/>
        <w:rPr/>
      </w:pPr>
      <w:r>
        <w:rPr>
          <w:rFonts w:eastAsia="Arial" w:cs="Arial" w:ascii="Arial" w:hAnsi="Arial"/>
          <w:b/>
          <w:bCs/>
          <w:color w:val="1F445F"/>
          <w:sz w:val="24"/>
          <w:szCs w:val="24"/>
        </w:rPr>
        <w:t>What is included</w:t>
      </w:r>
    </w:p>
    <w:p>
      <w:pPr>
        <w:pStyle w:val="ListParagraph"/>
        <w:numPr>
          <w:ilvl w:val="0"/>
          <w:numId w:val="3"/>
        </w:numPr>
        <w:spacing w:before="0" w:after="80"/>
        <w:rPr/>
      </w:pPr>
      <w:r>
        <w:rPr>
          <w:rFonts w:eastAsia="Arial" w:cs="Arial"/>
          <w:color w:val="2C3345"/>
          <w:sz w:val="22"/>
          <w:szCs w:val="22"/>
        </w:rPr>
        <w:t>Seven-page website as specified in the website map above</w:t>
      </w:r>
    </w:p>
    <w:p>
      <w:pPr>
        <w:pStyle w:val="ListParagraph"/>
        <w:numPr>
          <w:ilvl w:val="0"/>
          <w:numId w:val="1"/>
        </w:numPr>
        <w:spacing w:before="0" w:after="80"/>
        <w:rPr/>
      </w:pPr>
      <w:r>
        <w:rPr>
          <w:rFonts w:eastAsia="Arial" w:cs="Arial"/>
          <w:color w:val="2C3345"/>
          <w:sz w:val="22"/>
          <w:szCs w:val="22"/>
        </w:rPr>
        <w:t>Thermal inspection landing page with animated video hero, instant quote calculator (email-gated), sample SiteMark report display, and drone-specific lead capture form</w:t>
      </w:r>
    </w:p>
    <w:p>
      <w:pPr>
        <w:pStyle w:val="ListParagraph"/>
        <w:numPr>
          <w:ilvl w:val="0"/>
          <w:numId w:val="1"/>
        </w:numPr>
        <w:spacing w:before="0" w:after="80"/>
        <w:rPr/>
      </w:pPr>
      <w:r>
        <w:rPr>
          <w:rFonts w:eastAsia="Arial" w:cs="Arial"/>
          <w:color w:val="2C3345"/>
          <w:sz w:val="22"/>
          <w:szCs w:val="22"/>
        </w:rPr>
        <w:t>Homepage rebuilt around the B2B buyer: stats bar (80,000 panels, 120 MW, 70 sites), working client logo bar (Blume, STS, Daisy Energy), clear path to the thermal page</w:t>
      </w:r>
    </w:p>
    <w:p>
      <w:pPr>
        <w:pStyle w:val="ListParagraph"/>
        <w:numPr>
          <w:ilvl w:val="0"/>
          <w:numId w:val="1"/>
        </w:numPr>
        <w:spacing w:before="0" w:after="80"/>
        <w:rPr/>
      </w:pPr>
      <w:r>
        <w:rPr>
          <w:rFonts w:eastAsia="Arial" w:cs="Arial"/>
          <w:color w:val="2C3345"/>
          <w:sz w:val="22"/>
          <w:szCs w:val="22"/>
        </w:rPr>
        <w:t>Copy carried from the current /drone page (the one well-written page on the existing site), cleaned of dev artefacts, and used as the tone reference for all other pages</w:t>
      </w:r>
    </w:p>
    <w:p>
      <w:pPr>
        <w:pStyle w:val="ListParagraph"/>
        <w:numPr>
          <w:ilvl w:val="0"/>
          <w:numId w:val="1"/>
        </w:numPr>
        <w:spacing w:before="0" w:after="80"/>
        <w:rPr/>
      </w:pPr>
      <w:r>
        <w:rPr>
          <w:rFonts w:eastAsia="Arial" w:cs="Arial"/>
          <w:color w:val="2C3345"/>
          <w:sz w:val="22"/>
          <w:szCs w:val="22"/>
        </w:rPr>
        <w:t>All 20 bugs identified in the site audit resolved on the new build</w:t>
      </w:r>
    </w:p>
    <w:p>
      <w:pPr>
        <w:pStyle w:val="ListParagraph"/>
        <w:numPr>
          <w:ilvl w:val="0"/>
          <w:numId w:val="1"/>
        </w:numPr>
        <w:spacing w:before="0" w:after="80"/>
        <w:rPr/>
      </w:pPr>
      <w:r>
        <w:rPr>
          <w:rFonts w:eastAsia="Arial" w:cs="Arial"/>
          <w:color w:val="2C3345"/>
          <w:sz w:val="22"/>
          <w:szCs w:val="22"/>
        </w:rPr>
        <w:t>POPIA consent checkbox and privacy policy on all forms</w:t>
      </w:r>
    </w:p>
    <w:p>
      <w:pPr>
        <w:pStyle w:val="ListParagraph"/>
        <w:numPr>
          <w:ilvl w:val="0"/>
          <w:numId w:val="1"/>
        </w:numPr>
        <w:spacing w:before="0" w:after="80"/>
        <w:rPr/>
      </w:pPr>
      <w:r>
        <w:rPr>
          <w:rFonts w:eastAsia="Arial" w:cs="Arial"/>
          <w:color w:val="2C3345"/>
          <w:sz w:val="22"/>
          <w:szCs w:val="22"/>
        </w:rPr>
        <w:t>Formspree integration: form submissions routed to email, CSV export for CRM</w:t>
      </w:r>
    </w:p>
    <w:p>
      <w:pPr>
        <w:pStyle w:val="ListParagraph"/>
        <w:numPr>
          <w:ilvl w:val="0"/>
          <w:numId w:val="1"/>
        </w:numPr>
        <w:spacing w:before="0" w:after="80"/>
        <w:rPr/>
      </w:pPr>
      <w:r>
        <w:rPr>
          <w:rFonts w:eastAsia="Arial" w:cs="Arial"/>
          <w:color w:val="2C3345"/>
          <w:sz w:val="22"/>
          <w:szCs w:val="22"/>
        </w:rPr>
        <w:t>SEO foundation: meta titles and descriptions per page, Schema.org JSON-LD markup, sitemap.xml, robots.txt, descriptive alt text on all images, geographic keywords in page copy</w:t>
      </w:r>
    </w:p>
    <w:p>
      <w:pPr>
        <w:pStyle w:val="ListParagraph"/>
        <w:numPr>
          <w:ilvl w:val="0"/>
          <w:numId w:val="1"/>
        </w:numPr>
        <w:spacing w:before="0" w:after="80"/>
        <w:rPr/>
      </w:pPr>
      <w:r>
        <w:rPr>
          <w:rFonts w:eastAsia="Arial" w:cs="Arial"/>
          <w:color w:val="2C3345"/>
          <w:sz w:val="22"/>
          <w:szCs w:val="22"/>
        </w:rPr>
        <w:t>Netlify deployment with HTTPS, asset compression, and clean URL redirects</w:t>
      </w:r>
    </w:p>
    <w:p>
      <w:pPr>
        <w:pStyle w:val="Normal"/>
        <w:spacing w:before="80" w:after="0"/>
        <w:rPr/>
      </w:pPr>
      <w:r>
        <w:rPr/>
      </w:r>
    </w:p>
    <w:p>
      <w:pPr>
        <w:pStyle w:val="Heading2"/>
        <w:spacing w:before="240" w:after="80"/>
        <w:rPr/>
      </w:pPr>
      <w:r>
        <w:rPr>
          <w:rFonts w:eastAsia="Arial" w:cs="Arial" w:ascii="Arial" w:hAnsi="Arial"/>
          <w:b/>
          <w:bCs/>
          <w:color w:val="1F445F"/>
          <w:sz w:val="24"/>
          <w:szCs w:val="24"/>
        </w:rPr>
        <w:t>What is not included</w:t>
      </w:r>
    </w:p>
    <w:p>
      <w:pPr>
        <w:pStyle w:val="ListParagraph"/>
        <w:numPr>
          <w:ilvl w:val="0"/>
          <w:numId w:val="1"/>
        </w:numPr>
        <w:spacing w:before="0" w:after="80"/>
        <w:rPr/>
      </w:pPr>
      <w:r>
        <w:rPr>
          <w:rFonts w:eastAsia="Arial" w:cs="Arial"/>
          <w:color w:val="2C3345"/>
          <w:sz w:val="22"/>
          <w:szCs w:val="22"/>
        </w:rPr>
        <w:t>Individual service deep-dive pages, case studies, blog, resources section, or client portal</w:t>
      </w:r>
    </w:p>
    <w:p>
      <w:pPr>
        <w:pStyle w:val="ListParagraph"/>
        <w:numPr>
          <w:ilvl w:val="0"/>
          <w:numId w:val="1"/>
        </w:numPr>
        <w:spacing w:before="0" w:after="80"/>
        <w:rPr/>
      </w:pPr>
      <w:r>
        <w:rPr>
          <w:rFonts w:eastAsia="Arial" w:cs="Arial"/>
          <w:color w:val="2C3345"/>
          <w:sz w:val="22"/>
          <w:szCs w:val="22"/>
        </w:rPr>
        <w:t>Ongoing hosting or Formspree fees</w:t>
      </w:r>
    </w:p>
    <w:p>
      <w:pPr>
        <w:pStyle w:val="ListParagraph"/>
        <w:numPr>
          <w:ilvl w:val="0"/>
          <w:numId w:val="1"/>
        </w:numPr>
        <w:spacing w:before="0" w:after="80"/>
        <w:rPr/>
      </w:pPr>
      <w:r>
        <w:rPr>
          <w:rFonts w:eastAsia="Arial" w:cs="Arial"/>
          <w:color w:val="2C3345"/>
          <w:sz w:val="22"/>
          <w:szCs w:val="22"/>
        </w:rPr>
        <w:t>Ad spend or paid media management</w:t>
      </w:r>
    </w:p>
    <w:p>
      <w:pPr>
        <w:pStyle w:val="ListParagraph"/>
        <w:numPr>
          <w:ilvl w:val="0"/>
          <w:numId w:val="1"/>
        </w:numPr>
        <w:spacing w:before="0" w:after="80"/>
        <w:rPr/>
      </w:pPr>
      <w:r>
        <w:rPr>
          <w:rFonts w:eastAsia="Arial" w:cs="Arial"/>
          <w:color w:val="2C3345"/>
          <w:sz w:val="22"/>
          <w:szCs w:val="22"/>
        </w:rPr>
        <w:t>Photo or video production</w:t>
      </w:r>
    </w:p>
    <w:p>
      <w:pPr>
        <w:pStyle w:val="ListParagraph"/>
        <w:numPr>
          <w:ilvl w:val="0"/>
          <w:numId w:val="1"/>
        </w:numPr>
        <w:spacing w:before="0" w:after="80"/>
        <w:rPr/>
      </w:pPr>
      <w:r>
        <w:rPr>
          <w:rFonts w:eastAsia="Arial" w:cs="Arial"/>
          <w:color w:val="2C3345"/>
          <w:sz w:val="22"/>
          <w:szCs w:val="22"/>
        </w:rPr>
        <w:t>Domain registration or annual renewal</w:t>
      </w:r>
    </w:p>
    <w:p>
      <w:pPr>
        <w:pStyle w:val="ListParagraph"/>
        <w:numPr>
          <w:ilvl w:val="0"/>
          <w:numId w:val="1"/>
        </w:numPr>
        <w:spacing w:before="0" w:after="80"/>
        <w:rPr/>
      </w:pPr>
      <w:r>
        <w:rPr>
          <w:rFonts w:eastAsia="Arial" w:cs="Arial"/>
          <w:color w:val="2C3345"/>
          <w:sz w:val="22"/>
          <w:szCs w:val="22"/>
        </w:rPr>
        <w:t>Any work not listed in this document</w:t>
      </w:r>
    </w:p>
    <w:p>
      <w:pPr>
        <w:pStyle w:val="Heading1"/>
        <w:spacing w:before="360" w:after="120"/>
        <w:rPr/>
      </w:pPr>
      <w:r>
        <w:rPr>
          <w:rFonts w:eastAsia="Arial" w:cs="Arial" w:ascii="Arial" w:hAnsi="Arial"/>
          <w:b/>
          <w:bCs/>
          <w:color w:val="1F445F"/>
          <w:sz w:val="28"/>
          <w:szCs w:val="28"/>
        </w:rPr>
        <w:t>4. Deliverables and Timeline</w:t>
      </w:r>
    </w:p>
    <w:p>
      <w:pPr>
        <w:pStyle w:val="Normal"/>
        <w:spacing w:before="0" w:after="140"/>
        <w:rPr/>
      </w:pPr>
      <w:r>
        <w:rPr>
          <w:rFonts w:eastAsia="Arial" w:cs="Arial"/>
          <w:color w:val="2C3345"/>
          <w:sz w:val="22"/>
          <w:szCs w:val="22"/>
        </w:rPr>
        <w:t>Build week: 11 May to 15 May 2026. Site goes live end of day Friday 15 May.</w:t>
      </w:r>
    </w:p>
    <w:p>
      <w:pPr>
        <w:pStyle w:val="Normal"/>
        <w:spacing w:before="160" w:after="0"/>
        <w:rPr/>
      </w:pPr>
      <w:r>
        <w:rPr/>
      </w:r>
    </w:p>
    <w:tbl>
      <w:tblPr>
        <w:tblW w:w="9026" w:type="dxa"/>
        <w:jc w:val="start"/>
        <w:tblInd w:w="0" w:type="dxa"/>
        <w:tblLayout w:type="fixed"/>
        <w:tblCellMar>
          <w:top w:w="100" w:type="dxa"/>
          <w:start w:w="140" w:type="dxa"/>
          <w:bottom w:w="100" w:type="dxa"/>
          <w:end w:w="140" w:type="dxa"/>
        </w:tblCellMar>
      </w:tblPr>
      <w:tblGrid>
        <w:gridCol w:w="4800"/>
        <w:gridCol w:w="1799"/>
        <w:gridCol w:w="2427"/>
      </w:tblGrid>
      <w:tr>
        <w:trPr>
          <w:tblHeader w:val="true"/>
        </w:trPr>
        <w:tc>
          <w:tcPr>
            <w:tcW w:w="4800"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Deliverable</w:t>
            </w:r>
          </w:p>
        </w:tc>
        <w:tc>
          <w:tcPr>
            <w:tcW w:w="1799"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Status</w:t>
            </w:r>
          </w:p>
        </w:tc>
        <w:tc>
          <w:tcPr>
            <w:tcW w:w="2427"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Due</w:t>
            </w:r>
          </w:p>
        </w:tc>
      </w:tr>
      <w:tr>
        <w:trPr/>
        <w:tc>
          <w:tcPr>
            <w:tcW w:w="4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Contact page (phone, email, map, hours)</w:t>
            </w:r>
          </w:p>
        </w:tc>
        <w:tc>
          <w:tcPr>
            <w:tcW w:w="1799"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Done</w:t>
            </w:r>
          </w:p>
        </w:tc>
        <w:tc>
          <w:tcPr>
            <w:tcW w:w="2427"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Mon 11 May</w:t>
            </w:r>
          </w:p>
        </w:tc>
      </w:tr>
      <w:tr>
        <w:trPr/>
        <w:tc>
          <w:tcPr>
            <w:tcW w:w="4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POPIA consent on all forms</w:t>
            </w:r>
          </w:p>
        </w:tc>
        <w:tc>
          <w:tcPr>
            <w:tcW w:w="1799"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Done</w:t>
            </w:r>
          </w:p>
        </w:tc>
        <w:tc>
          <w:tcPr>
            <w:tcW w:w="2427"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Mon 11 May</w:t>
            </w:r>
          </w:p>
        </w:tc>
      </w:tr>
      <w:tr>
        <w:trPr/>
        <w:tc>
          <w:tcPr>
            <w:tcW w:w="4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Quote calculator (email-gated, live estimate)</w:t>
            </w:r>
          </w:p>
        </w:tc>
        <w:tc>
          <w:tcPr>
            <w:tcW w:w="1799"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Done</w:t>
            </w:r>
          </w:p>
        </w:tc>
        <w:tc>
          <w:tcPr>
            <w:tcW w:w="2427"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Mon 11 May</w:t>
            </w:r>
          </w:p>
        </w:tc>
      </w:tr>
      <w:tr>
        <w:trPr/>
        <w:tc>
          <w:tcPr>
            <w:tcW w:w="4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Thermal page V2 (audit copy, certifications, drone FAQ)</w:t>
            </w:r>
          </w:p>
        </w:tc>
        <w:tc>
          <w:tcPr>
            <w:tcW w:w="1799"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In progress</w:t>
            </w:r>
          </w:p>
        </w:tc>
        <w:tc>
          <w:tcPr>
            <w:tcW w:w="2427"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Tue 12 May</w:t>
            </w:r>
          </w:p>
        </w:tc>
      </w:tr>
      <w:tr>
        <w:trPr/>
        <w:tc>
          <w:tcPr>
            <w:tcW w:w="4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Homepage rebuild (stats, logo bar, thermal CTA)</w:t>
            </w:r>
          </w:p>
        </w:tc>
        <w:tc>
          <w:tcPr>
            <w:tcW w:w="1799"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Pending</w:t>
            </w:r>
          </w:p>
        </w:tc>
        <w:tc>
          <w:tcPr>
            <w:tcW w:w="2427"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Tue 12 May</w:t>
            </w:r>
          </w:p>
        </w:tc>
      </w:tr>
      <w:tr>
        <w:trPr/>
        <w:tc>
          <w:tcPr>
            <w:tcW w:w="4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Formspree integration (both forms)</w:t>
            </w:r>
          </w:p>
        </w:tc>
        <w:tc>
          <w:tcPr>
            <w:tcW w:w="1799"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Pending</w:t>
            </w:r>
          </w:p>
        </w:tc>
        <w:tc>
          <w:tcPr>
            <w:tcW w:w="2427"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Tue 12 May</w:t>
            </w:r>
          </w:p>
        </w:tc>
      </w:tr>
      <w:tr>
        <w:trPr/>
        <w:tc>
          <w:tcPr>
            <w:tcW w:w="4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About page (bio, credentials, certifications)</w:t>
            </w:r>
          </w:p>
        </w:tc>
        <w:tc>
          <w:tcPr>
            <w:tcW w:w="1799"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Pending</w:t>
            </w:r>
          </w:p>
        </w:tc>
        <w:tc>
          <w:tcPr>
            <w:tcW w:w="2427"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Wed 13 May</w:t>
            </w:r>
          </w:p>
        </w:tc>
      </w:tr>
      <w:tr>
        <w:trPr/>
        <w:tc>
          <w:tcPr>
            <w:tcW w:w="4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Services overview</w:t>
            </w:r>
          </w:p>
        </w:tc>
        <w:tc>
          <w:tcPr>
            <w:tcW w:w="1799"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Pending</w:t>
            </w:r>
          </w:p>
        </w:tc>
        <w:tc>
          <w:tcPr>
            <w:tcW w:w="2427"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Wed 13 May</w:t>
            </w:r>
          </w:p>
        </w:tc>
      </w:tr>
      <w:tr>
        <w:trPr/>
        <w:tc>
          <w:tcPr>
            <w:tcW w:w="4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FAQ rewrite and recategorisation</w:t>
            </w:r>
          </w:p>
        </w:tc>
        <w:tc>
          <w:tcPr>
            <w:tcW w:w="1799"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Pending</w:t>
            </w:r>
          </w:p>
        </w:tc>
        <w:tc>
          <w:tcPr>
            <w:tcW w:w="2427"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Wed 13 May</w:t>
            </w:r>
          </w:p>
        </w:tc>
      </w:tr>
      <w:tr>
        <w:trPr/>
        <w:tc>
          <w:tcPr>
            <w:tcW w:w="4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Privacy policy (POPIA-compliant)</w:t>
            </w:r>
          </w:p>
        </w:tc>
        <w:tc>
          <w:tcPr>
            <w:tcW w:w="1799"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Pending</w:t>
            </w:r>
          </w:p>
        </w:tc>
        <w:tc>
          <w:tcPr>
            <w:tcW w:w="2427"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Thu 14 May</w:t>
            </w:r>
          </w:p>
        </w:tc>
      </w:tr>
      <w:tr>
        <w:trPr/>
        <w:tc>
          <w:tcPr>
            <w:tcW w:w="4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All 20 audit bugs resolved</w:t>
            </w:r>
          </w:p>
        </w:tc>
        <w:tc>
          <w:tcPr>
            <w:tcW w:w="1799"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Pending</w:t>
            </w:r>
          </w:p>
        </w:tc>
        <w:tc>
          <w:tcPr>
            <w:tcW w:w="2427"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Thu 14 May</w:t>
            </w:r>
          </w:p>
        </w:tc>
      </w:tr>
      <w:tr>
        <w:trPr/>
        <w:tc>
          <w:tcPr>
            <w:tcW w:w="4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SEO foundation (meta, schema, sitemap, alt text)</w:t>
            </w:r>
          </w:p>
        </w:tc>
        <w:tc>
          <w:tcPr>
            <w:tcW w:w="1799"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Pending</w:t>
            </w:r>
          </w:p>
        </w:tc>
        <w:tc>
          <w:tcPr>
            <w:tcW w:w="2427"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Thu 14 May</w:t>
            </w:r>
          </w:p>
        </w:tc>
      </w:tr>
      <w:tr>
        <w:trPr/>
        <w:tc>
          <w:tcPr>
            <w:tcW w:w="4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Full QA (mobile and desktop, all 7 pages)</w:t>
            </w:r>
          </w:p>
        </w:tc>
        <w:tc>
          <w:tcPr>
            <w:tcW w:w="1799"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Pending</w:t>
            </w:r>
          </w:p>
        </w:tc>
        <w:tc>
          <w:tcPr>
            <w:tcW w:w="2427"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Thu 14 May</w:t>
            </w:r>
          </w:p>
        </w:tc>
      </w:tr>
      <w:tr>
        <w:trPr/>
        <w:tc>
          <w:tcPr>
            <w:tcW w:w="4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DNS cutover to Netlify</w:t>
            </w:r>
          </w:p>
        </w:tc>
        <w:tc>
          <w:tcPr>
            <w:tcW w:w="1799"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Pending</w:t>
            </w:r>
          </w:p>
        </w:tc>
        <w:tc>
          <w:tcPr>
            <w:tcW w:w="2427"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Thu 14 May eve</w:t>
            </w:r>
          </w:p>
        </w:tc>
      </w:tr>
      <w:tr>
        <w:trPr/>
        <w:tc>
          <w:tcPr>
            <w:tcW w:w="4800"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2"/>
                <w:szCs w:val="22"/>
              </w:rPr>
              <w:t>Site goes live</w:t>
            </w:r>
          </w:p>
        </w:tc>
        <w:tc>
          <w:tcPr>
            <w:tcW w:w="1799"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
          </w:p>
        </w:tc>
        <w:tc>
          <w:tcPr>
            <w:tcW w:w="2427"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2"/>
                <w:szCs w:val="22"/>
              </w:rPr>
              <w:t>Fri 15 May 2026</w:t>
            </w:r>
          </w:p>
        </w:tc>
      </w:tr>
      <w:tr>
        <w:trPr/>
        <w:tc>
          <w:tcPr>
            <w:tcW w:w="4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Handover and tidy-up</w:t>
            </w:r>
          </w:p>
        </w:tc>
        <w:tc>
          <w:tcPr>
            <w:tcW w:w="1799"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Pending</w:t>
            </w:r>
          </w:p>
        </w:tc>
        <w:tc>
          <w:tcPr>
            <w:tcW w:w="2427"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Mon 19 May</w:t>
            </w:r>
          </w:p>
        </w:tc>
      </w:tr>
    </w:tbl>
    <w:p>
      <w:pPr>
        <w:pStyle w:val="Heading1"/>
        <w:spacing w:before="360" w:after="120"/>
        <w:rPr/>
      </w:pPr>
      <w:r>
        <w:rPr>
          <w:rFonts w:eastAsia="Arial" w:cs="Arial" w:ascii="Arial" w:hAnsi="Arial"/>
          <w:b/>
          <w:bCs/>
          <w:color w:val="1F445F"/>
          <w:sz w:val="28"/>
          <w:szCs w:val="28"/>
        </w:rPr>
        <w:t>5. Change Requests</w:t>
      </w:r>
    </w:p>
    <w:p>
      <w:pPr>
        <w:pStyle w:val="Normal"/>
        <w:spacing w:before="0" w:after="140"/>
        <w:rPr/>
      </w:pPr>
      <w:r>
        <w:rPr>
          <w:rFonts w:eastAsia="Arial" w:cs="Arial"/>
          <w:color w:val="2C3345"/>
          <w:sz w:val="22"/>
          <w:szCs w:val="22"/>
        </w:rPr>
        <w:t>This statement of work defines the full scope of Phase 1. Any work requested outside what is listed in Section 3 constitutes a change request.</w:t>
      </w:r>
    </w:p>
    <w:p>
      <w:pPr>
        <w:pStyle w:val="Normal"/>
        <w:spacing w:before="0" w:after="140"/>
        <w:rPr/>
      </w:pPr>
      <w:r>
        <w:rPr>
          <w:rFonts w:eastAsia="Arial" w:cs="Arial"/>
          <w:color w:val="2C3345"/>
          <w:sz w:val="22"/>
          <w:szCs w:val="22"/>
        </w:rPr>
        <w:t>Change requests must be submitted in writing (email is sufficient). Underbite Capital will respond within one business day with a revised cost and timeline impact. No out-of-scope work will begin until the change request is agreed in writing by both parties.</w:t>
      </w:r>
    </w:p>
    <w:p>
      <w:pPr>
        <w:pStyle w:val="Normal"/>
        <w:spacing w:before="0" w:after="140"/>
        <w:rPr/>
      </w:pPr>
      <w:r>
        <w:rPr>
          <w:rFonts w:eastAsia="Arial" w:cs="Arial"/>
          <w:color w:val="2C3345"/>
          <w:sz w:val="22"/>
          <w:szCs w:val="22"/>
        </w:rPr>
        <w:t>Examples of changes that would trigger this process: adding pages not listed in the website map, integrating a third-party booking tool, building a CMS, creating video or photo assets.</w:t>
      </w:r>
    </w:p>
    <w:p>
      <w:pPr>
        <w:pStyle w:val="Heading1"/>
        <w:spacing w:before="360" w:after="120"/>
        <w:rPr/>
      </w:pPr>
      <w:r>
        <w:rPr>
          <w:rFonts w:eastAsia="Arial" w:cs="Arial" w:ascii="Arial" w:hAnsi="Arial"/>
          <w:b/>
          <w:bCs/>
          <w:color w:val="1F445F"/>
          <w:sz w:val="28"/>
          <w:szCs w:val="28"/>
        </w:rPr>
        <w:t>6. Intellectual Property</w:t>
      </w:r>
    </w:p>
    <w:p>
      <w:pPr>
        <w:pStyle w:val="Normal"/>
        <w:spacing w:before="0" w:after="140"/>
        <w:rPr/>
      </w:pPr>
      <w:r>
        <w:rPr>
          <w:rFonts w:eastAsia="Arial" w:cs="Arial"/>
          <w:color w:val="2C3345"/>
          <w:sz w:val="22"/>
          <w:szCs w:val="22"/>
        </w:rPr>
        <w:t>All code, copy, and design assets produced under this agreement remain the property of Underbite Capital until the final invoice (50% on launch) is paid in full.</w:t>
      </w:r>
    </w:p>
    <w:p>
      <w:pPr>
        <w:pStyle w:val="Normal"/>
        <w:spacing w:before="0" w:after="140"/>
        <w:rPr/>
      </w:pPr>
      <w:r>
        <w:rPr>
          <w:rFonts w:eastAsia="Arial" w:cs="Arial"/>
          <w:color w:val="2C3345"/>
          <w:sz w:val="22"/>
          <w:szCs w:val="22"/>
        </w:rPr>
        <w:t>Upon receipt of final payment, full intellectual property rights to all deliverables listed in Section 3 transfer to Kleen Up Solar (Pty) Ltd. Kleen Up Solar will have the right to use, modify, and distribute the deliverables without restriction.</w:t>
      </w:r>
    </w:p>
    <w:p>
      <w:pPr>
        <w:pStyle w:val="Normal"/>
        <w:spacing w:before="0" w:after="140"/>
        <w:rPr/>
      </w:pPr>
      <w:r>
        <w:rPr>
          <w:rFonts w:eastAsia="Arial" w:cs="Arial"/>
          <w:color w:val="2C3345"/>
          <w:sz w:val="22"/>
          <w:szCs w:val="22"/>
        </w:rPr>
        <w:t>Underbite Capital retains the right to reference this project in its portfolio and case studies, unless Kleen Up Solar requests otherwise in writing within 30 days of project completion.</w:t>
      </w:r>
    </w:p>
    <w:p>
      <w:pPr>
        <w:pStyle w:val="Heading1"/>
        <w:spacing w:before="360" w:after="120"/>
        <w:rPr/>
      </w:pPr>
      <w:r>
        <w:rPr>
          <w:rFonts w:eastAsia="Arial" w:cs="Arial" w:ascii="Arial" w:hAnsi="Arial"/>
          <w:b/>
          <w:bCs/>
          <w:color w:val="1F445F"/>
          <w:sz w:val="28"/>
          <w:szCs w:val="28"/>
        </w:rPr>
        <w:t>7. Payment Terms</w:t>
      </w:r>
    </w:p>
    <w:p>
      <w:pPr>
        <w:pStyle w:val="Normal"/>
        <w:spacing w:before="80" w:after="0"/>
        <w:rPr/>
      </w:pPr>
      <w:r>
        <w:rPr/>
      </w:r>
    </w:p>
    <w:tbl>
      <w:tblPr>
        <w:tblW w:w="9026" w:type="dxa"/>
        <w:jc w:val="start"/>
        <w:tblInd w:w="0" w:type="dxa"/>
        <w:tblLayout w:type="fixed"/>
        <w:tblCellMar>
          <w:top w:w="100" w:type="dxa"/>
          <w:start w:w="140" w:type="dxa"/>
          <w:bottom w:w="100" w:type="dxa"/>
          <w:end w:w="140" w:type="dxa"/>
        </w:tblCellMar>
      </w:tblPr>
      <w:tblGrid>
        <w:gridCol w:w="3199"/>
        <w:gridCol w:w="2000"/>
        <w:gridCol w:w="3827"/>
      </w:tblGrid>
      <w:tr>
        <w:trPr>
          <w:tblHeader w:val="true"/>
        </w:trPr>
        <w:tc>
          <w:tcPr>
            <w:tcW w:w="3199"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Milestone</w:t>
            </w:r>
          </w:p>
        </w:tc>
        <w:tc>
          <w:tcPr>
            <w:tcW w:w="2000"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Amount</w:t>
            </w:r>
          </w:p>
        </w:tc>
        <w:tc>
          <w:tcPr>
            <w:tcW w:w="3827"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Due</w:t>
            </w:r>
          </w:p>
        </w:tc>
      </w:tr>
      <w:tr>
        <w:trPr/>
        <w:tc>
          <w:tcPr>
            <w:tcW w:w="3199"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Project start (signature of this SOW)</w:t>
            </w:r>
          </w:p>
        </w:tc>
        <w:tc>
          <w:tcPr>
            <w:tcW w:w="20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R5,250</w:t>
            </w:r>
          </w:p>
        </w:tc>
        <w:tc>
          <w:tcPr>
            <w:tcW w:w="3827"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On or before Mon 12 May 2026</w:t>
            </w:r>
          </w:p>
        </w:tc>
      </w:tr>
      <w:tr>
        <w:trPr/>
        <w:tc>
          <w:tcPr>
            <w:tcW w:w="3199"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Site goes live</w:t>
            </w:r>
          </w:p>
        </w:tc>
        <w:tc>
          <w:tcPr>
            <w:tcW w:w="20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R5,250</w:t>
            </w:r>
          </w:p>
        </w:tc>
        <w:tc>
          <w:tcPr>
            <w:tcW w:w="3827"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On or before Fri 15 May 2026</w:t>
            </w:r>
          </w:p>
        </w:tc>
      </w:tr>
      <w:tr>
        <w:trPr/>
        <w:tc>
          <w:tcPr>
            <w:tcW w:w="3199"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2"/>
                <w:szCs w:val="22"/>
              </w:rPr>
              <w:t>Total</w:t>
            </w:r>
          </w:p>
        </w:tc>
        <w:tc>
          <w:tcPr>
            <w:tcW w:w="2000"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2"/>
                <w:szCs w:val="22"/>
              </w:rPr>
              <w:t>R10,500</w:t>
            </w:r>
          </w:p>
        </w:tc>
        <w:tc>
          <w:tcPr>
            <w:tcW w:w="3827"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color w:val="FFFFFF"/>
                <w:sz w:val="22"/>
                <w:szCs w:val="22"/>
              </w:rPr>
              <w:t>Excl. VAT</w:t>
            </w:r>
          </w:p>
        </w:tc>
      </w:tr>
    </w:tbl>
    <w:p>
      <w:pPr>
        <w:pStyle w:val="Normal"/>
        <w:spacing w:before="160" w:after="0"/>
        <w:rPr/>
      </w:pPr>
      <w:r>
        <w:rPr/>
      </w:r>
    </w:p>
    <w:p>
      <w:pPr>
        <w:pStyle w:val="Normal"/>
        <w:spacing w:before="0" w:after="140"/>
        <w:rPr/>
      </w:pPr>
      <w:r>
        <w:rPr>
          <w:rFonts w:eastAsia="Arial" w:cs="Arial"/>
          <w:color w:val="2C3345"/>
          <w:sz w:val="22"/>
          <w:szCs w:val="22"/>
        </w:rPr>
        <w:t>Invoices are payable within 3 business days of issue. Late payments accrue interest at 1.5% per month. All amounts exclude VAT where applicable.</w:t>
      </w:r>
    </w:p>
    <w:p>
      <w:pPr>
        <w:pStyle w:val="Heading1"/>
        <w:spacing w:before="360" w:after="120"/>
        <w:rPr/>
      </w:pPr>
      <w:r>
        <w:rPr>
          <w:rFonts w:eastAsia="Arial" w:cs="Arial" w:ascii="Arial" w:hAnsi="Arial"/>
          <w:b/>
          <w:bCs/>
          <w:color w:val="1F445F"/>
          <w:sz w:val="28"/>
          <w:szCs w:val="28"/>
        </w:rPr>
        <w:t>8. Cancellation</w:t>
      </w:r>
    </w:p>
    <w:p>
      <w:pPr>
        <w:pStyle w:val="Normal"/>
        <w:spacing w:before="0" w:after="140"/>
        <w:rPr/>
      </w:pPr>
      <w:r>
        <w:rPr>
          <w:rFonts w:eastAsia="Arial" w:cs="Arial"/>
          <w:color w:val="2C3345"/>
          <w:sz w:val="22"/>
          <w:szCs w:val="22"/>
        </w:rPr>
        <w:t>Either party may cancel this agreement in writing with 2 business days notice.</w:t>
      </w:r>
    </w:p>
    <w:p>
      <w:pPr>
        <w:pStyle w:val="Normal"/>
        <w:spacing w:before="0" w:after="140"/>
        <w:rPr/>
      </w:pPr>
      <w:r>
        <w:rPr>
          <w:rFonts w:eastAsia="Arial" w:cs="Arial"/>
          <w:color w:val="2C3345"/>
          <w:sz w:val="22"/>
          <w:szCs w:val="22"/>
        </w:rPr>
        <w:t>If Kleen Up Solar cancels after the project start payment has been received, that payment (R5,250) is non-refundable. Underbite Capital will deliver all completed work to date.</w:t>
      </w:r>
    </w:p>
    <w:p>
      <w:pPr>
        <w:pStyle w:val="Normal"/>
        <w:spacing w:before="0" w:after="140"/>
        <w:rPr/>
      </w:pPr>
      <w:r>
        <w:rPr>
          <w:rFonts w:eastAsia="Arial" w:cs="Arial"/>
          <w:color w:val="2C3345"/>
          <w:sz w:val="22"/>
          <w:szCs w:val="22"/>
        </w:rPr>
        <w:t>If Underbite Capital cancels without cause, all fees paid to date will be refunded in full within 5 business days.</w:t>
      </w:r>
    </w:p>
    <w:p>
      <w:pPr>
        <w:pStyle w:val="Heading1"/>
        <w:spacing w:before="360" w:after="120"/>
        <w:rPr/>
      </w:pPr>
      <w:r>
        <w:rPr>
          <w:rFonts w:eastAsia="Arial" w:cs="Arial" w:ascii="Arial" w:hAnsi="Arial"/>
          <w:b/>
          <w:bCs/>
          <w:color w:val="1F445F"/>
          <w:sz w:val="28"/>
          <w:szCs w:val="28"/>
        </w:rPr>
        <w:t>9. Liability</w:t>
      </w:r>
    </w:p>
    <w:p>
      <w:pPr>
        <w:pStyle w:val="Normal"/>
        <w:spacing w:before="0" w:after="140"/>
        <w:rPr/>
      </w:pPr>
      <w:r>
        <w:rPr>
          <w:rFonts w:eastAsia="Arial" w:cs="Arial"/>
          <w:color w:val="2C3345"/>
          <w:sz w:val="22"/>
          <w:szCs w:val="22"/>
        </w:rPr>
        <w:t>Underbite Capital's total liability under this agreement is limited to the total fees paid under this SOW (R10,500). Underbite Capital is not liable for indirect, incidental, or consequential damages including but not limited to lost revenue, lost data, or loss of business opportunity.</w:t>
      </w:r>
    </w:p>
    <w:p>
      <w:pPr>
        <w:pStyle w:val="Normal"/>
        <w:spacing w:before="0" w:after="140"/>
        <w:rPr/>
      </w:pPr>
      <w:r>
        <w:rPr>
          <w:rFonts w:eastAsia="Arial" w:cs="Arial"/>
          <w:color w:val="2C3345"/>
          <w:sz w:val="22"/>
          <w:szCs w:val="22"/>
        </w:rPr>
        <w:t>Underbite Capital is not responsible for third-party services used in the build (Netlify, Formspree, Google Analytics) or for content supplied by the client that infringes third-party rights.</w:t>
      </w:r>
    </w:p>
    <w:p>
      <w:pPr>
        <w:pStyle w:val="Heading1"/>
        <w:spacing w:before="360" w:after="120"/>
        <w:rPr/>
      </w:pPr>
      <w:r>
        <w:rPr>
          <w:rFonts w:eastAsia="Arial" w:cs="Arial" w:ascii="Arial" w:hAnsi="Arial"/>
          <w:b/>
          <w:bCs/>
          <w:color w:val="1F445F"/>
          <w:sz w:val="28"/>
          <w:szCs w:val="28"/>
        </w:rPr>
        <w:t>10. General</w:t>
      </w:r>
    </w:p>
    <w:p>
      <w:pPr>
        <w:pStyle w:val="Normal"/>
        <w:spacing w:before="0" w:after="140"/>
        <w:rPr/>
      </w:pPr>
      <w:r>
        <w:rPr>
          <w:rFonts w:eastAsia="Arial" w:cs="Arial"/>
          <w:color w:val="2C3345"/>
          <w:sz w:val="22"/>
          <w:szCs w:val="22"/>
        </w:rPr>
        <w:t>This agreement is governed by the laws of the Republic of South Africa. Any dispute that cannot be resolved between the parties within 10 business days will be referred to the relevant Magistrate's Court.</w:t>
      </w:r>
    </w:p>
    <w:p>
      <w:pPr>
        <w:pStyle w:val="Normal"/>
        <w:spacing w:before="0" w:after="140"/>
        <w:rPr/>
      </w:pPr>
      <w:r>
        <w:rPr>
          <w:rFonts w:eastAsia="Arial" w:cs="Arial"/>
          <w:color w:val="2C3345"/>
          <w:sz w:val="22"/>
          <w:szCs w:val="22"/>
        </w:rPr>
        <w:t>This document, together with the project scope referenced in Section 3, constitutes the full agreement between the parties and supersedes any prior verbal or written discussions.</w:t>
      </w:r>
    </w:p>
    <w:p>
      <w:pPr>
        <w:pStyle w:val="Heading1"/>
        <w:spacing w:before="360" w:after="120"/>
        <w:rPr/>
      </w:pPr>
      <w:r>
        <w:rPr>
          <w:rFonts w:eastAsia="Arial" w:cs="Arial" w:ascii="Arial" w:hAnsi="Arial"/>
          <w:b/>
          <w:bCs/>
          <w:color w:val="1F445F"/>
          <w:sz w:val="28"/>
          <w:szCs w:val="28"/>
        </w:rPr>
        <w:t>11. Signatures</w:t>
      </w:r>
    </w:p>
    <w:p>
      <w:pPr>
        <w:pStyle w:val="Normal"/>
        <w:spacing w:before="0" w:after="140"/>
        <w:rPr/>
      </w:pPr>
      <w:r>
        <w:rPr>
          <w:rFonts w:eastAsia="Arial" w:cs="Arial"/>
          <w:color w:val="2C3345"/>
          <w:sz w:val="22"/>
          <w:szCs w:val="22"/>
        </w:rPr>
        <w:t>By signing below, both parties confirm they have read, understood, and agreed to the terms of this statement of work.</w:t>
      </w:r>
    </w:p>
    <w:p>
      <w:pPr>
        <w:pStyle w:val="Normal"/>
        <w:spacing w:before="320" w:after="0"/>
        <w:rPr/>
      </w:pPr>
      <w:r>
        <w:rPr/>
      </w:r>
    </w:p>
    <w:tbl>
      <w:tblPr>
        <w:tblW w:w="9026" w:type="dxa"/>
        <w:jc w:val="start"/>
        <w:tblInd w:w="0" w:type="dxa"/>
        <w:tblLayout w:type="fixed"/>
        <w:tblCellMar>
          <w:top w:w="80" w:type="dxa"/>
          <w:start w:w="0" w:type="dxa"/>
          <w:bottom w:w="80" w:type="dxa"/>
          <w:end w:w="200" w:type="dxa"/>
        </w:tblCellMar>
      </w:tblPr>
      <w:tblGrid>
        <w:gridCol w:w="4400"/>
        <w:gridCol w:w="4626"/>
      </w:tblGrid>
      <w:tr>
        <w:trPr/>
        <w:tc>
          <w:tcPr>
            <w:tcW w:w="4400" w:type="dxa"/>
            <w:tcBorders/>
          </w:tcPr>
          <w:p>
            <w:pPr>
              <w:pStyle w:val="Normal"/>
              <w:rPr/>
            </w:pPr>
            <w:r>
              <w:rPr>
                <w:rFonts w:eastAsia="Arial" w:cs="Arial"/>
                <w:b/>
                <w:bCs/>
                <w:color w:val="1F445F"/>
                <w:sz w:val="20"/>
                <w:szCs w:val="20"/>
              </w:rPr>
              <w:t>Underbite Capital (Pty) Ltd</w:t>
            </w:r>
          </w:p>
          <w:p>
            <w:pPr>
              <w:pStyle w:val="Normal"/>
              <w:spacing w:before="200" w:after="0"/>
              <w:rPr/>
            </w:pPr>
            <w:r>
              <w:rPr/>
            </w:r>
          </w:p>
          <w:p>
            <w:pPr>
              <w:pStyle w:val="Normal"/>
              <w:pBdr>
                <w:bottom w:val="single" w:sz="4" w:space="0" w:color="1F445F"/>
              </w:pBdr>
              <w:spacing w:before="0" w:after="100"/>
              <w:rPr/>
            </w:pPr>
            <w:r>
              <w:rPr/>
            </w:r>
          </w:p>
          <w:p>
            <w:pPr>
              <w:pStyle w:val="Normal"/>
              <w:rPr/>
            </w:pPr>
            <w:r>
              <w:rPr>
                <w:rFonts w:eastAsia="Arial" w:cs="Arial"/>
                <w:color w:val="888888"/>
                <w:sz w:val="18"/>
                <w:szCs w:val="18"/>
              </w:rPr>
              <w:t>Stuart Black / Tomas Anema</w:t>
            </w:r>
          </w:p>
          <w:p>
            <w:pPr>
              <w:pStyle w:val="Normal"/>
              <w:spacing w:before="200" w:after="0"/>
              <w:rPr/>
            </w:pPr>
            <w:r>
              <w:rPr/>
            </w:r>
          </w:p>
          <w:p>
            <w:pPr>
              <w:pStyle w:val="Normal"/>
              <w:rPr/>
            </w:pPr>
            <w:r>
              <w:rPr>
                <w:rFonts w:eastAsia="Arial" w:cs="Arial"/>
                <w:b/>
                <w:bCs/>
                <w:color w:val="1F445F"/>
                <w:sz w:val="20"/>
                <w:szCs w:val="20"/>
              </w:rPr>
              <w:t>Date:</w:t>
            </w:r>
          </w:p>
          <w:p>
            <w:pPr>
              <w:pStyle w:val="Normal"/>
              <w:spacing w:before="200" w:after="0"/>
              <w:rPr/>
            </w:pPr>
            <w:r>
              <w:rPr/>
            </w:r>
          </w:p>
          <w:p>
            <w:pPr>
              <w:pStyle w:val="Normal"/>
              <w:pBdr>
                <w:bottom w:val="single" w:sz="4" w:space="0" w:color="1F445F"/>
              </w:pBdr>
              <w:spacing w:before="0" w:after="60"/>
              <w:rPr/>
            </w:pPr>
            <w:r>
              <w:rPr/>
            </w:r>
          </w:p>
        </w:tc>
        <w:tc>
          <w:tcPr>
            <w:tcW w:w="4626" w:type="dxa"/>
            <w:tcBorders/>
          </w:tcPr>
          <w:p>
            <w:pPr>
              <w:pStyle w:val="Normal"/>
              <w:rPr/>
            </w:pPr>
            <w:r>
              <w:rPr>
                <w:rFonts w:eastAsia="Arial" w:cs="Arial"/>
                <w:b/>
                <w:bCs/>
                <w:color w:val="1F445F"/>
                <w:sz w:val="20"/>
                <w:szCs w:val="20"/>
              </w:rPr>
              <w:t>Kleen Up Solar (Pty) Ltd</w:t>
            </w:r>
          </w:p>
          <w:p>
            <w:pPr>
              <w:pStyle w:val="Normal"/>
              <w:spacing w:before="200" w:after="0"/>
              <w:rPr/>
            </w:pPr>
            <w:r>
              <w:rPr/>
            </w:r>
          </w:p>
          <w:p>
            <w:pPr>
              <w:pStyle w:val="Normal"/>
              <w:pBdr>
                <w:bottom w:val="single" w:sz="4" w:space="0" w:color="1F445F"/>
              </w:pBdr>
              <w:spacing w:before="0" w:after="100"/>
              <w:rPr/>
            </w:pPr>
            <w:r>
              <w:rPr/>
            </w:r>
          </w:p>
          <w:p>
            <w:pPr>
              <w:pStyle w:val="Normal"/>
              <w:rPr/>
            </w:pPr>
            <w:r>
              <w:rPr>
                <w:rFonts w:eastAsia="Arial" w:cs="Arial"/>
                <w:color w:val="888888"/>
                <w:sz w:val="18"/>
                <w:szCs w:val="18"/>
              </w:rPr>
              <w:t>Gareth Hayden</w:t>
            </w:r>
          </w:p>
          <w:p>
            <w:pPr>
              <w:pStyle w:val="Normal"/>
              <w:spacing w:before="200" w:after="0"/>
              <w:rPr/>
            </w:pPr>
            <w:r>
              <w:rPr/>
            </w:r>
          </w:p>
          <w:p>
            <w:pPr>
              <w:pStyle w:val="Normal"/>
              <w:rPr/>
            </w:pPr>
            <w:r>
              <w:rPr>
                <w:rFonts w:eastAsia="Arial" w:cs="Arial"/>
                <w:b/>
                <w:bCs/>
                <w:color w:val="1F445F"/>
                <w:sz w:val="20"/>
                <w:szCs w:val="20"/>
              </w:rPr>
              <w:t>Date:</w:t>
            </w:r>
          </w:p>
          <w:p>
            <w:pPr>
              <w:pStyle w:val="Normal"/>
              <w:spacing w:before="200" w:after="0"/>
              <w:rPr/>
            </w:pPr>
            <w:r>
              <w:rPr/>
            </w:r>
          </w:p>
          <w:p>
            <w:pPr>
              <w:pStyle w:val="Normal"/>
              <w:pBdr>
                <w:bottom w:val="single" w:sz="4" w:space="0" w:color="1F445F"/>
              </w:pBdr>
              <w:spacing w:before="0" w:after="60"/>
              <w:rPr/>
            </w:pPr>
            <w:r>
              <w:rPr/>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1F445F"/>
      </w:pBdr>
      <w:tabs>
        <w:tab w:val="clear" w:pos="720"/>
        <w:tab w:val="right" w:pos="9026" w:leader="none"/>
      </w:tabs>
      <w:spacing w:before="120" w:after="0"/>
      <w:rPr/>
    </w:pPr>
    <w:r>
      <w:rPr>
        <w:rFonts w:eastAsia="Arial" w:cs="Arial"/>
        <w:color w:val="888888"/>
        <w:sz w:val="18"/>
        <w:szCs w:val="18"/>
      </w:rPr>
      <w:t>Underbite Capital (Pty) Ltd  |  Confidential</w:t>
      <w:tab/>
      <w:t xml:space="preserve">Page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1F445F"/>
      </w:pBdr>
      <w:tabs>
        <w:tab w:val="clear" w:pos="720"/>
        <w:tab w:val="right" w:pos="9026" w:leader="none"/>
      </w:tabs>
      <w:spacing w:before="120" w:after="0"/>
      <w:rPr/>
    </w:pPr>
    <w:r>
      <w:rPr>
        <w:rFonts w:eastAsia="Arial" w:cs="Arial"/>
        <w:color w:val="888888"/>
        <w:sz w:val="18"/>
        <w:szCs w:val="18"/>
      </w:rPr>
      <w:t>Underbite Capital (Pty) Ltd  |  Confidential</w:t>
      <w:tab/>
      <w:t xml:space="preserve">Page </w:t>
    </w:r>
    <w:r>
      <w:rPr/>
      <w:fldChar w:fldCharType="begin"/>
    </w:r>
    <w:r>
      <w:rPr/>
      <w:instrText xml:space="preserve">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1F445F"/>
      </w:pBdr>
      <w:tabs>
        <w:tab w:val="clear" w:pos="720"/>
        <w:tab w:val="right" w:pos="9026" w:leader="none"/>
      </w:tabs>
      <w:spacing w:before="0" w:after="120"/>
      <w:rPr/>
    </w:pPr>
    <w:r>
      <w:rPr>
        <w:rFonts w:eastAsia="Arial" w:cs="Arial"/>
        <w:color w:val="888888"/>
        <w:sz w:val="18"/>
        <w:szCs w:val="18"/>
      </w:rPr>
      <w:t>Statement of Work</w:t>
      <w:tab/>
      <w:t>Kleen Up Solar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1F445F"/>
      </w:pBdr>
      <w:tabs>
        <w:tab w:val="clear" w:pos="720"/>
        <w:tab w:val="right" w:pos="9026" w:leader="none"/>
      </w:tabs>
      <w:spacing w:before="0" w:after="120"/>
      <w:rPr/>
    </w:pPr>
    <w:r>
      <w:rPr>
        <w:rFonts w:eastAsia="Arial" w:cs="Arial"/>
        <w:color w:val="888888"/>
        <w:sz w:val="18"/>
        <w:szCs w:val="18"/>
      </w:rPr>
      <w:t>Statement of Work</w:t>
      <w:tab/>
      <w:t>Kleen Up Solar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600" w:hanging="32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ZA"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ZA" w:eastAsia="zh-CN" w:bidi="hi-IN"/>
    </w:rPr>
  </w:style>
  <w:style w:type="paragraph" w:styleId="Heading1">
    <w:name w:val="heading 1"/>
    <w:basedOn w:val="Heading"/>
    <w:qFormat/>
    <w:pPr>
      <w:spacing w:before="360" w:after="120"/>
      <w:outlineLvl w:val="0"/>
    </w:pPr>
    <w:rPr>
      <w:rFonts w:ascii="Arial" w:hAnsi="Arial" w:eastAsia="Arial" w:cs="Arial"/>
      <w:b/>
      <w:bCs/>
      <w:color w:val="1F445F"/>
      <w:sz w:val="28"/>
      <w:szCs w:val="28"/>
    </w:rPr>
  </w:style>
  <w:style w:type="paragraph" w:styleId="Heading2">
    <w:name w:val="heading 2"/>
    <w:basedOn w:val="Heading"/>
    <w:qFormat/>
    <w:pPr>
      <w:spacing w:before="240" w:after="80"/>
      <w:outlineLvl w:val="1"/>
    </w:pPr>
    <w:rPr>
      <w:rFonts w:ascii="Arial" w:hAnsi="Arial" w:eastAsia="Arial" w:cs="Arial"/>
      <w:b/>
      <w:bCs/>
      <w:color w:val="1F445F"/>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ZA"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Z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LibreOffice/26.2.0.3$Windows_X86_64 LibreOffice_project/620$Build-3</Application>
  <AppVersion>15.0000</AppVersion>
  <Pages>4</Pages>
  <Words>1149</Words>
  <Characters>6033</Characters>
  <CharactersWithSpaces>7024</CharactersWithSpaces>
  <Paragraphs>149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2026-05-11T10:58:31Z</dcterms:created>
  <dc:creator>Un-named</dc:creator>
  <dc:description/>
  <dc:language>en-ZA</dc:language>
  <cp:lastModifiedBy/>
  <dcterms:modified xsi:type="dcterms:W3CDTF">2026-05-11T13:01:35Z</dcterms:modified>
  <cp:revision>2</cp:revision>
  <dc:subject/>
  <dc:title/>
</cp:coreProperties>
</file>