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32BD" w14:textId="42DF00E4" w:rsidR="00784C7B" w:rsidRDefault="00911423" w:rsidP="000542E0">
      <w:pPr>
        <w:pStyle w:val="CHISA"/>
        <w:jc w:val="both"/>
        <w:rPr>
          <w:rFonts w:ascii="Times New Roman" w:hAnsi="Times New Roman" w:cs="Times New Roman"/>
          <w:color w:val="000000"/>
          <w:sz w:val="24"/>
        </w:rPr>
      </w:pPr>
      <w:bookmarkStart w:id="0" w:name="_Hlk111060613"/>
      <w:bookmarkEnd w:id="0"/>
      <w:r>
        <w:rPr>
          <w:rFonts w:ascii="Times New Roman" w:hAnsi="Times New Roman" w:cs="Times New Roman"/>
          <w:b/>
          <w:color w:val="000000"/>
          <w:sz w:val="28"/>
        </w:rPr>
        <w:t>D</w:t>
      </w:r>
      <w:r w:rsidR="007F0422">
        <w:rPr>
          <w:rFonts w:ascii="Times New Roman" w:hAnsi="Times New Roman" w:cs="Times New Roman"/>
          <w:b/>
          <w:color w:val="000000"/>
          <w:sz w:val="28"/>
        </w:rPr>
        <w:t xml:space="preserve">ata </w:t>
      </w:r>
      <w:r w:rsidR="00BF3E58">
        <w:rPr>
          <w:rFonts w:ascii="Times New Roman" w:hAnsi="Times New Roman" w:cs="Times New Roman"/>
          <w:b/>
          <w:color w:val="000000"/>
          <w:sz w:val="28"/>
        </w:rPr>
        <w:t>Pre-processing</w:t>
      </w:r>
      <w:r w:rsidR="007F0422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="00A73B72">
        <w:rPr>
          <w:rFonts w:ascii="Times New Roman" w:hAnsi="Times New Roman" w:cs="Times New Roman"/>
          <w:b/>
          <w:color w:val="000000"/>
          <w:sz w:val="28"/>
        </w:rPr>
        <w:t>for</w:t>
      </w:r>
      <w:r w:rsidR="007F0422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Equilibrium Dispersive Model</w:t>
      </w:r>
      <w:r w:rsidR="007B5676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="00BF3E58">
        <w:rPr>
          <w:rFonts w:ascii="Times New Roman" w:hAnsi="Times New Roman" w:cs="Times New Roman"/>
          <w:b/>
          <w:color w:val="000000"/>
          <w:sz w:val="28"/>
        </w:rPr>
        <w:t xml:space="preserve">Parameters Determination </w:t>
      </w:r>
      <w:proofErr w:type="spellStart"/>
      <w:r w:rsidR="00BF3E58">
        <w:rPr>
          <w:rFonts w:ascii="Times New Roman" w:hAnsi="Times New Roman" w:cs="Times New Roman"/>
          <w:b/>
          <w:color w:val="000000"/>
          <w:sz w:val="28"/>
        </w:rPr>
        <w:t>Modeling</w:t>
      </w:r>
      <w:proofErr w:type="spellEnd"/>
      <w:r w:rsidR="00BF3E58">
        <w:rPr>
          <w:rFonts w:ascii="Times New Roman" w:hAnsi="Times New Roman" w:cs="Times New Roman"/>
          <w:b/>
          <w:color w:val="000000"/>
          <w:sz w:val="28"/>
        </w:rPr>
        <w:t xml:space="preserve"> Preparative</w:t>
      </w: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="000857C2">
        <w:rPr>
          <w:rFonts w:ascii="Times New Roman" w:hAnsi="Times New Roman" w:cs="Times New Roman"/>
          <w:b/>
          <w:color w:val="000000"/>
          <w:sz w:val="28"/>
        </w:rPr>
        <w:t>C</w:t>
      </w:r>
      <w:r>
        <w:rPr>
          <w:rFonts w:ascii="Times New Roman" w:hAnsi="Times New Roman" w:cs="Times New Roman"/>
          <w:b/>
          <w:color w:val="000000"/>
          <w:sz w:val="28"/>
        </w:rPr>
        <w:t xml:space="preserve">hromatography </w:t>
      </w:r>
      <w:r w:rsidR="000857C2">
        <w:rPr>
          <w:rFonts w:ascii="Times New Roman" w:hAnsi="Times New Roman" w:cs="Times New Roman"/>
          <w:b/>
          <w:color w:val="000000"/>
          <w:sz w:val="28"/>
        </w:rPr>
        <w:t>S</w:t>
      </w:r>
      <w:r w:rsidR="00F46319">
        <w:rPr>
          <w:rFonts w:ascii="Times New Roman" w:hAnsi="Times New Roman" w:cs="Times New Roman"/>
          <w:b/>
          <w:color w:val="000000"/>
          <w:sz w:val="28"/>
        </w:rPr>
        <w:t>eparation</w:t>
      </w:r>
      <w:r>
        <w:rPr>
          <w:rFonts w:ascii="Times New Roman" w:hAnsi="Times New Roman" w:cs="Times New Roman"/>
          <w:b/>
          <w:color w:val="000000"/>
          <w:sz w:val="28"/>
        </w:rPr>
        <w:t xml:space="preserve"> of </w:t>
      </w:r>
      <w:r w:rsidR="00BF3E58">
        <w:rPr>
          <w:rFonts w:ascii="Times New Roman" w:hAnsi="Times New Roman" w:cs="Times New Roman"/>
          <w:b/>
          <w:color w:val="000000"/>
          <w:sz w:val="28"/>
        </w:rPr>
        <w:t>Mannitol,</w:t>
      </w:r>
      <w:r w:rsidR="005F3382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="003750AF">
        <w:rPr>
          <w:rFonts w:ascii="Times New Roman" w:hAnsi="Times New Roman" w:cs="Times New Roman"/>
          <w:b/>
          <w:color w:val="000000"/>
          <w:sz w:val="28"/>
        </w:rPr>
        <w:t>G</w:t>
      </w:r>
      <w:r w:rsidR="005F3382">
        <w:rPr>
          <w:rFonts w:ascii="Times New Roman" w:hAnsi="Times New Roman" w:cs="Times New Roman"/>
          <w:b/>
          <w:color w:val="000000"/>
          <w:sz w:val="28"/>
        </w:rPr>
        <w:t xml:space="preserve">lucose, </w:t>
      </w:r>
      <w:r w:rsidR="003750AF">
        <w:rPr>
          <w:rFonts w:ascii="Times New Roman" w:hAnsi="Times New Roman" w:cs="Times New Roman"/>
          <w:b/>
          <w:color w:val="000000"/>
          <w:sz w:val="28"/>
        </w:rPr>
        <w:t>F</w:t>
      </w:r>
      <w:r w:rsidR="00B113D4">
        <w:rPr>
          <w:rFonts w:ascii="Times New Roman" w:hAnsi="Times New Roman" w:cs="Times New Roman"/>
          <w:b/>
          <w:color w:val="000000"/>
          <w:sz w:val="28"/>
        </w:rPr>
        <w:t>ructose,</w:t>
      </w:r>
      <w:r w:rsidR="005F3382">
        <w:rPr>
          <w:rFonts w:ascii="Times New Roman" w:hAnsi="Times New Roman" w:cs="Times New Roman"/>
          <w:b/>
          <w:color w:val="000000"/>
          <w:sz w:val="28"/>
        </w:rPr>
        <w:t xml:space="preserve"> and </w:t>
      </w:r>
      <w:r w:rsidR="003750AF">
        <w:rPr>
          <w:rFonts w:ascii="Times New Roman" w:hAnsi="Times New Roman" w:cs="Times New Roman"/>
          <w:b/>
          <w:color w:val="000000"/>
          <w:sz w:val="28"/>
        </w:rPr>
        <w:t>S</w:t>
      </w:r>
      <w:r w:rsidR="005F3382">
        <w:rPr>
          <w:rFonts w:ascii="Times New Roman" w:hAnsi="Times New Roman" w:cs="Times New Roman"/>
          <w:b/>
          <w:color w:val="000000"/>
          <w:sz w:val="28"/>
        </w:rPr>
        <w:t xml:space="preserve">ucrose from the </w:t>
      </w:r>
      <w:r w:rsidR="000857C2">
        <w:rPr>
          <w:rFonts w:ascii="Times New Roman" w:hAnsi="Times New Roman" w:cs="Times New Roman"/>
          <w:b/>
          <w:color w:val="000000"/>
          <w:sz w:val="28"/>
        </w:rPr>
        <w:t>M</w:t>
      </w:r>
      <w:r w:rsidR="005F3382">
        <w:rPr>
          <w:rFonts w:ascii="Times New Roman" w:hAnsi="Times New Roman" w:cs="Times New Roman"/>
          <w:b/>
          <w:color w:val="000000"/>
          <w:sz w:val="28"/>
        </w:rPr>
        <w:t>ixture</w:t>
      </w: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013790AF" w14:textId="77777777" w:rsidR="00E6186C" w:rsidRPr="008A28F3" w:rsidRDefault="00E6186C" w:rsidP="000542E0">
      <w:pPr>
        <w:pStyle w:val="CHISA"/>
        <w:jc w:val="both"/>
        <w:rPr>
          <w:rFonts w:ascii="Times New Roman" w:hAnsi="Times New Roman" w:cs="Times New Roman"/>
          <w:color w:val="000000"/>
          <w:sz w:val="24"/>
        </w:rPr>
      </w:pPr>
    </w:p>
    <w:p w14:paraId="7B787DE8" w14:textId="678F2A8D" w:rsidR="00784C7B" w:rsidRPr="00C064BD" w:rsidRDefault="00E6186C" w:rsidP="000542E0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66278A">
        <w:rPr>
          <w:rFonts w:ascii="Times New Roman" w:hAnsi="Times New Roman" w:cs="Times New Roman"/>
          <w:color w:val="000000"/>
          <w:sz w:val="24"/>
          <w:u w:val="single"/>
        </w:rPr>
        <w:t>T</w:t>
      </w:r>
      <w:r w:rsidR="00784C7B" w:rsidRPr="0066278A">
        <w:rPr>
          <w:rFonts w:ascii="Times New Roman" w:hAnsi="Times New Roman" w:cs="Times New Roman"/>
          <w:color w:val="000000"/>
          <w:sz w:val="24"/>
          <w:u w:val="single"/>
        </w:rPr>
        <w:t xml:space="preserve">. </w:t>
      </w:r>
      <w:r w:rsidRPr="0066278A">
        <w:rPr>
          <w:rFonts w:ascii="Times New Roman" w:hAnsi="Times New Roman" w:cs="Times New Roman"/>
          <w:color w:val="000000"/>
          <w:sz w:val="24"/>
          <w:u w:val="single"/>
        </w:rPr>
        <w:t>Svoboda</w:t>
      </w:r>
      <w:r w:rsidR="00784C7B" w:rsidRPr="0066278A">
        <w:rPr>
          <w:rFonts w:ascii="Times New Roman" w:hAnsi="Times New Roman" w:cs="Times New Roman"/>
          <w:color w:val="000000"/>
          <w:sz w:val="24"/>
        </w:rPr>
        <w:t xml:space="preserve">, </w:t>
      </w:r>
      <w:r w:rsidRPr="0066278A">
        <w:rPr>
          <w:rFonts w:ascii="Times New Roman" w:hAnsi="Times New Roman" w:cs="Times New Roman"/>
          <w:color w:val="000000"/>
          <w:sz w:val="24"/>
        </w:rPr>
        <w:t>S</w:t>
      </w:r>
      <w:r w:rsidR="00784C7B" w:rsidRPr="0066278A">
        <w:rPr>
          <w:rFonts w:ascii="Times New Roman" w:hAnsi="Times New Roman" w:cs="Times New Roman"/>
          <w:color w:val="000000"/>
          <w:sz w:val="24"/>
        </w:rPr>
        <w:t xml:space="preserve">. </w:t>
      </w:r>
      <w:r w:rsidRPr="0066278A">
        <w:rPr>
          <w:rFonts w:ascii="Times New Roman" w:hAnsi="Times New Roman" w:cs="Times New Roman"/>
          <w:color w:val="000000"/>
          <w:sz w:val="24"/>
        </w:rPr>
        <w:t>Henke</w:t>
      </w:r>
      <w:r w:rsidR="00784C7B" w:rsidRPr="0066278A">
        <w:rPr>
          <w:rFonts w:ascii="Times New Roman" w:hAnsi="Times New Roman" w:cs="Times New Roman"/>
          <w:color w:val="000000"/>
          <w:sz w:val="24"/>
        </w:rPr>
        <w:t xml:space="preserve">, </w:t>
      </w:r>
      <w:r w:rsidRPr="0066278A">
        <w:rPr>
          <w:rFonts w:ascii="Times New Roman" w:hAnsi="Times New Roman" w:cs="Times New Roman"/>
          <w:color w:val="000000"/>
          <w:sz w:val="24"/>
        </w:rPr>
        <w:t>S.</w:t>
      </w:r>
      <w:r w:rsidR="00784C7B" w:rsidRPr="0066278A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66278A">
        <w:rPr>
          <w:rFonts w:ascii="Times New Roman" w:hAnsi="Times New Roman" w:cs="Times New Roman"/>
          <w:color w:val="000000"/>
          <w:sz w:val="24"/>
        </w:rPr>
        <w:t>Gillarová</w:t>
      </w:r>
      <w:proofErr w:type="spellEnd"/>
      <w:r w:rsidRPr="0066278A">
        <w:rPr>
          <w:rFonts w:ascii="Times New Roman" w:hAnsi="Times New Roman" w:cs="Times New Roman"/>
          <w:color w:val="000000"/>
          <w:sz w:val="24"/>
        </w:rPr>
        <w:t xml:space="preserve">, </w:t>
      </w:r>
      <w:r w:rsidR="002959F2" w:rsidRPr="0066278A">
        <w:rPr>
          <w:rFonts w:ascii="Times New Roman" w:hAnsi="Times New Roman" w:cs="Times New Roman"/>
          <w:color w:val="000000"/>
          <w:sz w:val="24"/>
        </w:rPr>
        <w:t>D. R</w:t>
      </w:r>
      <w:proofErr w:type="spellStart"/>
      <w:r w:rsidR="002959F2">
        <w:rPr>
          <w:rFonts w:ascii="Times New Roman" w:hAnsi="Times New Roman" w:cs="Times New Roman"/>
          <w:color w:val="000000"/>
          <w:sz w:val="24"/>
          <w:lang w:val="cs-CZ"/>
        </w:rPr>
        <w:t>ůžička</w:t>
      </w:r>
      <w:proofErr w:type="spellEnd"/>
      <w:r w:rsidR="002959F2">
        <w:rPr>
          <w:rFonts w:ascii="Times New Roman" w:hAnsi="Times New Roman" w:cs="Times New Roman"/>
          <w:color w:val="000000"/>
          <w:sz w:val="24"/>
          <w:lang w:val="cs-CZ"/>
        </w:rPr>
        <w:t xml:space="preserve">, </w:t>
      </w:r>
      <w:r w:rsidRPr="0066278A">
        <w:rPr>
          <w:rFonts w:ascii="Times New Roman" w:hAnsi="Times New Roman" w:cs="Times New Roman"/>
          <w:color w:val="000000"/>
          <w:sz w:val="24"/>
        </w:rPr>
        <w:t xml:space="preserve">M. </w:t>
      </w:r>
      <w:proofErr w:type="spellStart"/>
      <w:r w:rsidRPr="0066278A">
        <w:rPr>
          <w:rFonts w:ascii="Times New Roman" w:hAnsi="Times New Roman" w:cs="Times New Roman"/>
          <w:color w:val="000000"/>
          <w:sz w:val="24"/>
        </w:rPr>
        <w:t>Sluková</w:t>
      </w:r>
      <w:proofErr w:type="spellEnd"/>
    </w:p>
    <w:p w14:paraId="3A92FAEB" w14:textId="245FA87F" w:rsidR="009E0E82" w:rsidRPr="009E0E82" w:rsidRDefault="009E0E82" w:rsidP="000542E0">
      <w:pPr>
        <w:pStyle w:val="CHISA"/>
        <w:jc w:val="both"/>
        <w:rPr>
          <w:rFonts w:ascii="Times New Roman" w:hAnsi="Times New Roman" w:cs="Times New Roman"/>
          <w:sz w:val="24"/>
          <w:lang w:val="en-US"/>
        </w:rPr>
      </w:pPr>
      <w:r w:rsidRPr="009E0E82">
        <w:rPr>
          <w:rFonts w:ascii="Times New Roman" w:hAnsi="Times New Roman" w:cs="Times New Roman"/>
          <w:sz w:val="24"/>
          <w:lang w:val="en-US"/>
        </w:rPr>
        <w:t xml:space="preserve">University of Chemistry and Technology Prague, Faculty of Food and Chemical Technology, Department of Carbohydrates and Cereals, </w:t>
      </w:r>
      <w:proofErr w:type="spellStart"/>
      <w:r w:rsidRPr="009E0E82">
        <w:rPr>
          <w:rFonts w:ascii="Times New Roman" w:hAnsi="Times New Roman" w:cs="Times New Roman"/>
          <w:sz w:val="24"/>
          <w:lang w:val="en-US"/>
        </w:rPr>
        <w:t>Technicka</w:t>
      </w:r>
      <w:proofErr w:type="spellEnd"/>
      <w:r w:rsidRPr="009E0E82">
        <w:rPr>
          <w:rFonts w:ascii="Times New Roman" w:hAnsi="Times New Roman" w:cs="Times New Roman"/>
          <w:sz w:val="24"/>
          <w:lang w:val="en-US"/>
        </w:rPr>
        <w:t xml:space="preserve"> 5, 166 28 Prague 6, Czech </w:t>
      </w:r>
      <w:proofErr w:type="gramStart"/>
      <w:r w:rsidRPr="009E0E82">
        <w:rPr>
          <w:rFonts w:ascii="Times New Roman" w:hAnsi="Times New Roman" w:cs="Times New Roman"/>
          <w:sz w:val="24"/>
          <w:lang w:val="en-US"/>
        </w:rPr>
        <w:t>Republic;</w:t>
      </w:r>
      <w:proofErr w:type="gramEnd"/>
    </w:p>
    <w:p w14:paraId="3D5D69CF" w14:textId="675E8DB5" w:rsidR="00784C7B" w:rsidRPr="00F46319" w:rsidRDefault="00784C7B" w:rsidP="000542E0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F46319">
        <w:rPr>
          <w:rFonts w:ascii="Times New Roman" w:hAnsi="Times New Roman" w:cs="Times New Roman"/>
          <w:sz w:val="24"/>
          <w:lang w:val="en-US"/>
        </w:rPr>
        <w:t>tel.</w:t>
      </w:r>
      <w:r w:rsidRPr="00F46319">
        <w:rPr>
          <w:rFonts w:ascii="Times New Roman" w:hAnsi="Times New Roman" w:cs="Times New Roman"/>
          <w:color w:val="000000"/>
          <w:sz w:val="24"/>
          <w:lang w:val="en-US"/>
        </w:rPr>
        <w:t xml:space="preserve"> +</w:t>
      </w:r>
      <w:r w:rsidR="009E0E82" w:rsidRPr="00F46319">
        <w:rPr>
          <w:rFonts w:ascii="Times New Roman" w:hAnsi="Times New Roman" w:cs="Times New Roman"/>
          <w:color w:val="000000"/>
          <w:sz w:val="24"/>
          <w:lang w:val="en-US"/>
        </w:rPr>
        <w:t>420 775 220 977</w:t>
      </w:r>
      <w:r w:rsidRPr="00F46319">
        <w:rPr>
          <w:rFonts w:ascii="Times New Roman" w:hAnsi="Times New Roman" w:cs="Times New Roman"/>
          <w:color w:val="000000"/>
          <w:sz w:val="24"/>
          <w:lang w:val="en-US"/>
        </w:rPr>
        <w:t xml:space="preserve">, </w:t>
      </w:r>
      <w:r w:rsidR="00F46319" w:rsidRPr="00F46319">
        <w:rPr>
          <w:rFonts w:ascii="Times New Roman" w:hAnsi="Times New Roman" w:cs="Times New Roman"/>
          <w:color w:val="000000"/>
          <w:sz w:val="24"/>
          <w:lang w:val="en-US"/>
        </w:rPr>
        <w:t>email:</w:t>
      </w:r>
      <w:r w:rsidRPr="00F46319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="000542E0" w:rsidRPr="00F46319">
        <w:rPr>
          <w:rFonts w:ascii="Times New Roman" w:hAnsi="Times New Roman" w:cs="Times New Roman"/>
          <w:color w:val="000000"/>
          <w:sz w:val="24"/>
          <w:lang w:val="en-US"/>
        </w:rPr>
        <w:t>tomas3.svoboda@vscht.cz</w:t>
      </w:r>
    </w:p>
    <w:p w14:paraId="3D8DDE44" w14:textId="77777777" w:rsidR="0066278A" w:rsidRPr="008A28F3" w:rsidRDefault="0066278A" w:rsidP="000542E0">
      <w:pPr>
        <w:pStyle w:val="CHISA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</w:p>
    <w:p w14:paraId="63099F7E" w14:textId="22B82BCD" w:rsidR="0066278A" w:rsidRDefault="00036CF7" w:rsidP="000542E0">
      <w:pPr>
        <w:pStyle w:val="CHISA"/>
        <w:ind w:firstLine="454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036CF7">
        <w:rPr>
          <w:rFonts w:ascii="Times New Roman" w:hAnsi="Times New Roman" w:cs="Times New Roman"/>
          <w:color w:val="000000"/>
          <w:sz w:val="24"/>
          <w:lang w:val="en-US"/>
        </w:rPr>
        <w:t xml:space="preserve">Preparative chromatography using </w:t>
      </w:r>
      <w:r w:rsidR="00F46319">
        <w:rPr>
          <w:rFonts w:ascii="Times New Roman" w:hAnsi="Times New Roman" w:cs="Times New Roman"/>
          <w:color w:val="000000"/>
          <w:sz w:val="24"/>
          <w:lang w:val="en-US"/>
        </w:rPr>
        <w:t>ion exchange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 resin is </w:t>
      </w:r>
      <w:r w:rsidR="00911423">
        <w:rPr>
          <w:rFonts w:ascii="Times New Roman" w:hAnsi="Times New Roman" w:cs="Times New Roman"/>
          <w:color w:val="000000"/>
          <w:sz w:val="24"/>
          <w:lang w:val="en-US"/>
        </w:rPr>
        <w:t>efficient</w:t>
      </w:r>
      <w:r w:rsidR="00B5182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method </w:t>
      </w:r>
      <w:r w:rsidR="00F46319">
        <w:rPr>
          <w:rFonts w:ascii="Times New Roman" w:hAnsi="Times New Roman" w:cs="Times New Roman"/>
          <w:color w:val="000000"/>
          <w:sz w:val="24"/>
          <w:lang w:val="en-US"/>
        </w:rPr>
        <w:t>for the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 separation of mono</w:t>
      </w:r>
      <w:r w:rsidR="00B5182C">
        <w:rPr>
          <w:rFonts w:ascii="Times New Roman" w:hAnsi="Times New Roman" w:cs="Times New Roman"/>
          <w:color w:val="000000"/>
          <w:sz w:val="24"/>
          <w:lang w:val="en-US"/>
        </w:rPr>
        <w:t>saccharides.</w:t>
      </w:r>
      <w:r w:rsidR="00F26D18">
        <w:rPr>
          <w:rFonts w:ascii="Times New Roman" w:hAnsi="Times New Roman" w:cs="Times New Roman"/>
          <w:color w:val="000000"/>
          <w:sz w:val="24"/>
          <w:lang w:val="en-US"/>
        </w:rPr>
        <w:t xml:space="preserve"> Continuous chromatography with </w:t>
      </w:r>
      <w:r w:rsidR="00F46319">
        <w:rPr>
          <w:rFonts w:ascii="Times New Roman" w:hAnsi="Times New Roman" w:cs="Times New Roman"/>
          <w:color w:val="000000"/>
          <w:sz w:val="24"/>
          <w:lang w:val="en-US"/>
        </w:rPr>
        <w:t>a simulated moving bed</w:t>
      </w:r>
      <w:r w:rsidR="00F26D18">
        <w:rPr>
          <w:rFonts w:ascii="Times New Roman" w:hAnsi="Times New Roman" w:cs="Times New Roman"/>
          <w:color w:val="000000"/>
          <w:sz w:val="24"/>
          <w:lang w:val="en-US"/>
        </w:rPr>
        <w:t xml:space="preserve"> is </w:t>
      </w:r>
      <w:r w:rsidR="00F46319">
        <w:rPr>
          <w:rFonts w:ascii="Times New Roman" w:hAnsi="Times New Roman" w:cs="Times New Roman"/>
          <w:color w:val="000000"/>
          <w:sz w:val="24"/>
          <w:lang w:val="en-US"/>
        </w:rPr>
        <w:t>a</w:t>
      </w:r>
      <w:r w:rsidR="00F26D18">
        <w:rPr>
          <w:rFonts w:ascii="Times New Roman" w:hAnsi="Times New Roman" w:cs="Times New Roman"/>
          <w:color w:val="000000"/>
          <w:sz w:val="24"/>
          <w:lang w:val="en-US"/>
        </w:rPr>
        <w:t xml:space="preserve"> popular technology</w:t>
      </w:r>
      <w:r w:rsidR="00B113D4">
        <w:rPr>
          <w:rFonts w:ascii="Times New Roman" w:hAnsi="Times New Roman" w:cs="Times New Roman"/>
          <w:color w:val="000000"/>
          <w:sz w:val="24"/>
          <w:lang w:val="en-US"/>
        </w:rPr>
        <w:t xml:space="preserve"> for</w:t>
      </w:r>
      <w:r w:rsidR="00F26D18">
        <w:rPr>
          <w:rFonts w:ascii="Times New Roman" w:hAnsi="Times New Roman" w:cs="Times New Roman"/>
          <w:color w:val="000000"/>
          <w:sz w:val="24"/>
          <w:lang w:val="en-US"/>
        </w:rPr>
        <w:t xml:space="preserve"> industrial</w:t>
      </w:r>
      <w:r w:rsidR="00B113D4">
        <w:rPr>
          <w:rFonts w:ascii="Times New Roman" w:hAnsi="Times New Roman" w:cs="Times New Roman"/>
          <w:color w:val="000000"/>
          <w:sz w:val="24"/>
          <w:lang w:val="en-US"/>
        </w:rPr>
        <w:t xml:space="preserve"> production of pure chemicals </w:t>
      </w:r>
      <w:r w:rsidR="00F26D18">
        <w:rPr>
          <w:rFonts w:ascii="Times New Roman" w:hAnsi="Times New Roman" w:cs="Times New Roman"/>
          <w:color w:val="000000"/>
          <w:sz w:val="24"/>
          <w:lang w:val="en-US"/>
        </w:rPr>
        <w:t xml:space="preserve">because of its efficiency in the terms of sorbent utilization and eluent consumption. To </w:t>
      </w:r>
      <w:r w:rsidR="00A26616">
        <w:rPr>
          <w:rFonts w:ascii="Times New Roman" w:hAnsi="Times New Roman" w:cs="Times New Roman"/>
          <w:color w:val="000000"/>
          <w:sz w:val="24"/>
          <w:lang w:val="en-US"/>
        </w:rPr>
        <w:t xml:space="preserve">find the optimal </w:t>
      </w:r>
      <w:r w:rsidR="00F46319">
        <w:rPr>
          <w:rFonts w:ascii="Times New Roman" w:hAnsi="Times New Roman" w:cs="Times New Roman"/>
          <w:color w:val="000000"/>
          <w:sz w:val="24"/>
          <w:lang w:val="en-US"/>
        </w:rPr>
        <w:t>operating</w:t>
      </w:r>
      <w:r w:rsidR="00A26616">
        <w:rPr>
          <w:rFonts w:ascii="Times New Roman" w:hAnsi="Times New Roman" w:cs="Times New Roman"/>
          <w:color w:val="000000"/>
          <w:sz w:val="24"/>
          <w:lang w:val="en-US"/>
        </w:rPr>
        <w:t xml:space="preserve"> parameters for the SMB chromatography </w:t>
      </w:r>
      <w:r w:rsidR="00F46319">
        <w:rPr>
          <w:rFonts w:ascii="Times New Roman" w:hAnsi="Times New Roman" w:cs="Times New Roman"/>
          <w:color w:val="000000"/>
          <w:sz w:val="24"/>
          <w:lang w:val="en-US"/>
        </w:rPr>
        <w:t>system, a</w:t>
      </w:r>
      <w:r w:rsidR="00A26616">
        <w:rPr>
          <w:rFonts w:ascii="Times New Roman" w:hAnsi="Times New Roman" w:cs="Times New Roman"/>
          <w:color w:val="000000"/>
          <w:sz w:val="24"/>
          <w:lang w:val="en-US"/>
        </w:rPr>
        <w:t xml:space="preserve"> mathematical description of </w:t>
      </w:r>
      <w:r w:rsidR="00FF73AA">
        <w:rPr>
          <w:rFonts w:ascii="Times New Roman" w:hAnsi="Times New Roman" w:cs="Times New Roman"/>
          <w:color w:val="000000"/>
          <w:sz w:val="24"/>
          <w:lang w:val="en-US"/>
        </w:rPr>
        <w:t xml:space="preserve">the </w:t>
      </w:r>
      <w:r w:rsidR="00A26616">
        <w:rPr>
          <w:rFonts w:ascii="Times New Roman" w:hAnsi="Times New Roman" w:cs="Times New Roman"/>
          <w:color w:val="000000"/>
          <w:sz w:val="24"/>
          <w:lang w:val="en-US"/>
        </w:rPr>
        <w:t>chro</w:t>
      </w:r>
      <w:r w:rsidR="00EF3B82">
        <w:rPr>
          <w:rFonts w:ascii="Times New Roman" w:hAnsi="Times New Roman" w:cs="Times New Roman"/>
          <w:color w:val="000000"/>
          <w:sz w:val="24"/>
          <w:lang w:val="en-US"/>
        </w:rPr>
        <w:t xml:space="preserve">matography process is </w:t>
      </w:r>
      <w:r w:rsidR="00F46319">
        <w:rPr>
          <w:rFonts w:ascii="Times New Roman" w:hAnsi="Times New Roman" w:cs="Times New Roman"/>
          <w:color w:val="000000"/>
          <w:sz w:val="24"/>
          <w:lang w:val="en-US"/>
        </w:rPr>
        <w:t>necessary.</w:t>
      </w:r>
      <w:r w:rsidR="00F46319" w:rsidRPr="00F46319">
        <w:rPr>
          <w:rFonts w:ascii="Times New Roman" w:hAnsi="Times New Roman" w:cs="Times New Roman"/>
          <w:color w:val="000000"/>
          <w:sz w:val="24"/>
          <w:vertAlign w:val="superscript"/>
          <w:lang w:val="en-US"/>
        </w:rPr>
        <w:t>[3], [4]</w:t>
      </w:r>
      <w:r w:rsidR="00EF3B82" w:rsidRPr="00A96CD4">
        <w:rPr>
          <w:rFonts w:ascii="Times New Roman" w:hAnsi="Times New Roman" w:cs="Times New Roman"/>
          <w:color w:val="000000"/>
          <w:sz w:val="24"/>
          <w:vertAlign w:val="superscript"/>
          <w:lang w:val="en-US"/>
        </w:rPr>
        <w:t xml:space="preserve"> </w:t>
      </w:r>
    </w:p>
    <w:p w14:paraId="196010B0" w14:textId="0E7518AA" w:rsidR="000C6A2A" w:rsidRDefault="00F46319" w:rsidP="000542E0">
      <w:pPr>
        <w:pStyle w:val="CHISA"/>
        <w:ind w:firstLine="454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The Equilibrium</w:t>
      </w:r>
      <w:r w:rsidR="00F43F91">
        <w:rPr>
          <w:rFonts w:ascii="Times New Roman" w:hAnsi="Times New Roman" w:cs="Times New Roman"/>
          <w:color w:val="000000"/>
          <w:sz w:val="24"/>
          <w:lang w:val="en-US"/>
        </w:rPr>
        <w:t xml:space="preserve"> Dispersive Model (EDM)</w:t>
      </w:r>
      <w:r w:rsidR="00044588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n-US"/>
        </w:rPr>
        <w:t>extends the</w:t>
      </w:r>
      <w:r w:rsidR="00044588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="00032264">
        <w:rPr>
          <w:rFonts w:ascii="Times New Roman" w:hAnsi="Times New Roman" w:cs="Times New Roman"/>
          <w:color w:val="000000"/>
          <w:sz w:val="24"/>
          <w:lang w:val="en-US"/>
        </w:rPr>
        <w:t xml:space="preserve">simple equilibrium model published by Don De Vault in </w:t>
      </w:r>
      <w:r>
        <w:rPr>
          <w:rFonts w:ascii="Times New Roman" w:hAnsi="Times New Roman" w:cs="Times New Roman"/>
          <w:color w:val="000000"/>
          <w:sz w:val="24"/>
          <w:lang w:val="en-US"/>
        </w:rPr>
        <w:t>1943.</w:t>
      </w:r>
      <w:r w:rsidRPr="00F46319">
        <w:rPr>
          <w:rFonts w:ascii="Times New Roman" w:hAnsi="Times New Roman" w:cs="Times New Roman"/>
          <w:color w:val="000000"/>
          <w:sz w:val="24"/>
          <w:vertAlign w:val="superscript"/>
          <w:lang w:val="en-US"/>
        </w:rPr>
        <w:t>[1]</w:t>
      </w:r>
      <w:r w:rsidR="00032264">
        <w:rPr>
          <w:rFonts w:ascii="Times New Roman" w:hAnsi="Times New Roman" w:cs="Times New Roman"/>
          <w:color w:val="000000"/>
          <w:sz w:val="24"/>
          <w:lang w:val="en-US"/>
        </w:rPr>
        <w:t xml:space="preserve"> He described chromatography as a concentration wave propagation </w:t>
      </w:r>
      <w:r>
        <w:rPr>
          <w:rFonts w:ascii="Times New Roman" w:hAnsi="Times New Roman" w:cs="Times New Roman"/>
          <w:color w:val="000000"/>
          <w:sz w:val="24"/>
          <w:lang w:val="en-US"/>
        </w:rPr>
        <w:t>in a</w:t>
      </w:r>
      <w:r w:rsidR="00032264">
        <w:rPr>
          <w:rFonts w:ascii="Times New Roman" w:hAnsi="Times New Roman" w:cs="Times New Roman"/>
          <w:color w:val="000000"/>
          <w:sz w:val="24"/>
          <w:lang w:val="en-US"/>
        </w:rPr>
        <w:t xml:space="preserve"> fixed bed column with assumptions of diluted systems, plug flow, negligible pressure </w:t>
      </w:r>
      <w:proofErr w:type="gramStart"/>
      <w:r w:rsidR="00032264">
        <w:rPr>
          <w:rFonts w:ascii="Times New Roman" w:hAnsi="Times New Roman" w:cs="Times New Roman"/>
          <w:color w:val="000000"/>
          <w:sz w:val="24"/>
          <w:lang w:val="en-US"/>
        </w:rPr>
        <w:t>drop</w:t>
      </w:r>
      <w:proofErr w:type="gramEnd"/>
      <w:r w:rsidR="00032264">
        <w:rPr>
          <w:rFonts w:ascii="Times New Roman" w:hAnsi="Times New Roman" w:cs="Times New Roman"/>
          <w:color w:val="000000"/>
          <w:sz w:val="24"/>
          <w:lang w:val="en-US"/>
        </w:rPr>
        <w:t xml:space="preserve">, and isothermal operation. </w:t>
      </w:r>
      <w:r w:rsidR="008F22F3">
        <w:rPr>
          <w:rFonts w:ascii="Times New Roman" w:hAnsi="Times New Roman" w:cs="Times New Roman"/>
          <w:color w:val="000000"/>
          <w:sz w:val="24"/>
          <w:lang w:val="en-US"/>
        </w:rPr>
        <w:t xml:space="preserve">Addition of </w:t>
      </w:r>
      <w:r>
        <w:rPr>
          <w:rFonts w:ascii="Times New Roman" w:hAnsi="Times New Roman" w:cs="Times New Roman"/>
          <w:color w:val="000000"/>
          <w:sz w:val="24"/>
          <w:lang w:val="en-US"/>
        </w:rPr>
        <w:t>second-order</w:t>
      </w:r>
      <w:r w:rsidR="00032264">
        <w:rPr>
          <w:rFonts w:ascii="Times New Roman" w:hAnsi="Times New Roman" w:cs="Times New Roman"/>
          <w:color w:val="000000"/>
          <w:sz w:val="24"/>
          <w:lang w:val="en-US"/>
        </w:rPr>
        <w:t xml:space="preserve"> derivative</w:t>
      </w:r>
      <w:r w:rsidR="008F22F3">
        <w:rPr>
          <w:rFonts w:ascii="Times New Roman" w:hAnsi="Times New Roman" w:cs="Times New Roman"/>
          <w:color w:val="000000"/>
          <w:sz w:val="24"/>
          <w:lang w:val="en-US"/>
        </w:rPr>
        <w:t xml:space="preserve"> apparent</w:t>
      </w:r>
      <w:r w:rsidR="00032264">
        <w:rPr>
          <w:rFonts w:ascii="Times New Roman" w:hAnsi="Times New Roman" w:cs="Times New Roman"/>
          <w:color w:val="000000"/>
          <w:sz w:val="24"/>
          <w:lang w:val="en-US"/>
        </w:rPr>
        <w:t xml:space="preserve"> di</w:t>
      </w:r>
      <w:r w:rsidR="00172586">
        <w:rPr>
          <w:rFonts w:ascii="Times New Roman" w:hAnsi="Times New Roman" w:cs="Times New Roman"/>
          <w:color w:val="000000"/>
          <w:sz w:val="24"/>
          <w:lang w:val="en-US"/>
        </w:rPr>
        <w:t>ffusion (dispersive)</w:t>
      </w:r>
      <w:r w:rsidR="00032264">
        <w:rPr>
          <w:rFonts w:ascii="Times New Roman" w:hAnsi="Times New Roman" w:cs="Times New Roman"/>
          <w:color w:val="000000"/>
          <w:sz w:val="24"/>
          <w:lang w:val="en-US"/>
        </w:rPr>
        <w:t xml:space="preserve"> term is useful to model nonlinear behavior </w:t>
      </w:r>
      <w:r w:rsidR="008F22F3">
        <w:rPr>
          <w:rFonts w:ascii="Times New Roman" w:hAnsi="Times New Roman" w:cs="Times New Roman"/>
          <w:color w:val="000000"/>
          <w:sz w:val="24"/>
          <w:lang w:val="en-US"/>
        </w:rPr>
        <w:t xml:space="preserve">which manifests </w:t>
      </w:r>
      <w:r>
        <w:rPr>
          <w:rFonts w:ascii="Times New Roman" w:hAnsi="Times New Roman" w:cs="Times New Roman"/>
          <w:color w:val="000000"/>
          <w:sz w:val="24"/>
          <w:lang w:val="en-US"/>
        </w:rPr>
        <w:t>itself,</w:t>
      </w:r>
      <w:r w:rsidR="008F22F3">
        <w:rPr>
          <w:rFonts w:ascii="Times New Roman" w:hAnsi="Times New Roman" w:cs="Times New Roman"/>
          <w:color w:val="000000"/>
          <w:sz w:val="24"/>
          <w:lang w:val="en-US"/>
        </w:rPr>
        <w:t xml:space="preserve"> for example in peak asymmetry</w:t>
      </w:r>
      <w:r w:rsidR="00A96CD4">
        <w:rPr>
          <w:rFonts w:ascii="Times New Roman" w:hAnsi="Times New Roman" w:cs="Times New Roman"/>
          <w:color w:val="000000"/>
          <w:sz w:val="24"/>
          <w:lang w:val="en-US"/>
        </w:rPr>
        <w:t>.</w:t>
      </w:r>
      <w:r w:rsidR="008F22F3">
        <w:rPr>
          <w:rFonts w:ascii="Times New Roman" w:hAnsi="Times New Roman" w:cs="Times New Roman"/>
          <w:color w:val="000000"/>
          <w:sz w:val="24"/>
          <w:lang w:val="en-US"/>
        </w:rPr>
        <w:t xml:space="preserve"> The mass balance of the component </w:t>
      </w:r>
      <w:proofErr w:type="spellStart"/>
      <w:r w:rsidR="008F22F3" w:rsidRPr="008F22F3">
        <w:rPr>
          <w:rFonts w:ascii="Times New Roman" w:hAnsi="Times New Roman" w:cs="Times New Roman"/>
          <w:i/>
          <w:iCs/>
          <w:color w:val="000000"/>
          <w:sz w:val="24"/>
          <w:lang w:val="en-US"/>
        </w:rPr>
        <w:t>i</w:t>
      </w:r>
      <w:proofErr w:type="spellEnd"/>
      <w:r w:rsidR="008F22F3">
        <w:rPr>
          <w:rFonts w:ascii="Times New Roman" w:hAnsi="Times New Roman" w:cs="Times New Roman"/>
          <w:color w:val="000000"/>
          <w:sz w:val="24"/>
          <w:lang w:val="en-US"/>
        </w:rPr>
        <w:t xml:space="preserve"> in a volume element of the column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402"/>
      </w:tblGrid>
      <w:tr w:rsidR="000C6A2A" w14:paraId="3D436E50" w14:textId="77777777" w:rsidTr="00571569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21BB50" w14:textId="77777777" w:rsidR="000C6A2A" w:rsidRDefault="000C6A2A" w:rsidP="000542E0">
            <w:pPr>
              <w:pStyle w:val="CHISA"/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BE7FE" w14:textId="183A3DC0" w:rsidR="000C6A2A" w:rsidRDefault="00FA1A08" w:rsidP="000542E0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=-u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+D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1-ε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9FE5E6" w14:textId="0CF6A577" w:rsidR="000C6A2A" w:rsidRPr="000C6A2A" w:rsidRDefault="000C6A2A" w:rsidP="00571569">
            <w:pPr>
              <w:pStyle w:val="CHISA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</w:pPr>
            <w:r w:rsidRPr="000C6A2A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>equation 1</w:t>
            </w:r>
          </w:p>
        </w:tc>
      </w:tr>
    </w:tbl>
    <w:p w14:paraId="0C9DA69E" w14:textId="3D3FE648" w:rsidR="007F3F78" w:rsidRPr="007F3F78" w:rsidRDefault="007F3F78" w:rsidP="000542E0">
      <w:pPr>
        <w:jc w:val="both"/>
        <w:rPr>
          <w:rFonts w:eastAsiaTheme="minorEastAsia"/>
          <w:lang w:val="en-US"/>
        </w:rPr>
      </w:pPr>
      <w:r w:rsidRPr="007F3F78">
        <w:rPr>
          <w:rFonts w:eastAsiaTheme="minorEastAsia"/>
          <w:lang w:val="en-US"/>
        </w:rPr>
        <w:t xml:space="preserve">Combining with the </w:t>
      </w:r>
      <w:r w:rsidR="00B86953">
        <w:rPr>
          <w:rFonts w:eastAsiaTheme="minorEastAsia"/>
          <w:lang w:val="en-US"/>
        </w:rPr>
        <w:t xml:space="preserve">linear </w:t>
      </w:r>
      <w:r w:rsidRPr="007F3F78">
        <w:rPr>
          <w:rFonts w:eastAsiaTheme="minorEastAsia"/>
          <w:lang w:val="en-US"/>
        </w:rPr>
        <w:t xml:space="preserve">adsorption </w:t>
      </w:r>
      <w:r w:rsidR="00D51015" w:rsidRPr="007F3F78">
        <w:rPr>
          <w:rFonts w:eastAsiaTheme="minorEastAsia"/>
          <w:lang w:val="en-US"/>
        </w:rPr>
        <w:t>equilibrium</w:t>
      </w:r>
      <w:r w:rsidRPr="007F3F78">
        <w:rPr>
          <w:rFonts w:eastAsiaTheme="minorEastAsia"/>
          <w:lang w:val="en-US"/>
        </w:rPr>
        <w:t xml:space="preserve"> isotherm</w:t>
      </w:r>
      <w:r w:rsidR="00A96CD4">
        <w:rPr>
          <w:rFonts w:eastAsiaTheme="minorEastAsia"/>
          <w:lang w:val="en-US"/>
        </w:rPr>
        <w:t>.</w:t>
      </w:r>
      <w:r w:rsidR="00A96CD4" w:rsidRPr="00A96CD4">
        <w:rPr>
          <w:color w:val="000000"/>
          <w:vertAlign w:val="superscript"/>
          <w:lang w:val="en-US"/>
        </w:rPr>
        <w:t>[3],[4]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402"/>
      </w:tblGrid>
      <w:tr w:rsidR="000C6A2A" w14:paraId="2B1F4CF2" w14:textId="77777777" w:rsidTr="00BE3542">
        <w:trPr>
          <w:trHeight w:val="340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DF3F31" w14:textId="77777777" w:rsidR="000C6A2A" w:rsidRDefault="000C6A2A" w:rsidP="000542E0">
            <w:pPr>
              <w:pStyle w:val="CHISA"/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721C86" w14:textId="7C804A87" w:rsidR="000C6A2A" w:rsidRDefault="00FA1A08" w:rsidP="000542E0">
            <w:pPr>
              <w:jc w:val="both"/>
              <w:rPr>
                <w:color w:val="00000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D1D72" w14:textId="37023A0C" w:rsidR="000C6A2A" w:rsidRPr="000C6A2A" w:rsidRDefault="000C6A2A" w:rsidP="00571569">
            <w:pPr>
              <w:pStyle w:val="CHISA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</w:pPr>
            <w:r w:rsidRPr="000C6A2A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equation </w:t>
            </w:r>
            <w:r w:rsidR="00CC1B3B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>2</w:t>
            </w:r>
          </w:p>
        </w:tc>
      </w:tr>
    </w:tbl>
    <w:p w14:paraId="3F83877A" w14:textId="68267CD9" w:rsidR="00A96CCA" w:rsidRDefault="006E08F3" w:rsidP="000542E0">
      <w:pPr>
        <w:pStyle w:val="CHISA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presents the original measured data from discontinuous preparative chromatography </w:t>
      </w:r>
      <w:r w:rsidR="007F0422">
        <w:rPr>
          <w:rFonts w:ascii="Times New Roman" w:hAnsi="Times New Roman" w:cs="Times New Roman"/>
          <w:sz w:val="24"/>
          <w:szCs w:val="24"/>
        </w:rPr>
        <w:t xml:space="preserve">pulse feed </w:t>
      </w:r>
      <w:r>
        <w:rPr>
          <w:rFonts w:ascii="Times New Roman" w:hAnsi="Times New Roman" w:cs="Times New Roman"/>
          <w:sz w:val="24"/>
          <w:szCs w:val="24"/>
        </w:rPr>
        <w:t xml:space="preserve">experiments and introduces the methods of </w:t>
      </w:r>
      <w:r w:rsidR="0047795D">
        <w:rPr>
          <w:rFonts w:ascii="Times New Roman" w:hAnsi="Times New Roman" w:cs="Times New Roman"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of the data and way to utilise them for determination of parameters of the EDM with non-</w:t>
      </w:r>
      <w:r w:rsidR="00AB151B">
        <w:rPr>
          <w:rFonts w:ascii="Times New Roman" w:hAnsi="Times New Roman" w:cs="Times New Roman"/>
          <w:sz w:val="24"/>
          <w:szCs w:val="24"/>
        </w:rPr>
        <w:t>competitive</w:t>
      </w:r>
      <w:r>
        <w:rPr>
          <w:rFonts w:ascii="Times New Roman" w:hAnsi="Times New Roman" w:cs="Times New Roman"/>
          <w:sz w:val="24"/>
          <w:szCs w:val="24"/>
        </w:rPr>
        <w:t xml:space="preserve"> linear isotherm.</w:t>
      </w:r>
    </w:p>
    <w:p w14:paraId="61277BBE" w14:textId="4CBA286F" w:rsidR="00A96CCA" w:rsidRDefault="00F46319" w:rsidP="000542E0">
      <w:pPr>
        <w:pStyle w:val="CHISA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mixture</w:t>
      </w:r>
      <w:r w:rsidR="00A96CCA">
        <w:rPr>
          <w:rFonts w:ascii="Times New Roman" w:hAnsi="Times New Roman" w:cs="Times New Roman"/>
          <w:sz w:val="24"/>
          <w:szCs w:val="24"/>
        </w:rPr>
        <w:t xml:space="preserve"> of mannitol, glucose, fructose</w:t>
      </w:r>
      <w:r w:rsidR="00871417">
        <w:rPr>
          <w:rFonts w:ascii="Times New Roman" w:hAnsi="Times New Roman" w:cs="Times New Roman"/>
          <w:sz w:val="24"/>
          <w:szCs w:val="24"/>
        </w:rPr>
        <w:t>,</w:t>
      </w:r>
      <w:r w:rsidR="00A96CCA">
        <w:rPr>
          <w:rFonts w:ascii="Times New Roman" w:hAnsi="Times New Roman" w:cs="Times New Roman"/>
          <w:sz w:val="24"/>
          <w:szCs w:val="24"/>
        </w:rPr>
        <w:t xml:space="preserve"> and </w:t>
      </w:r>
      <w:r w:rsidR="00871417">
        <w:rPr>
          <w:rFonts w:ascii="Times New Roman" w:hAnsi="Times New Roman" w:cs="Times New Roman"/>
          <w:sz w:val="24"/>
          <w:szCs w:val="24"/>
        </w:rPr>
        <w:t xml:space="preserve">sucrose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871417">
        <w:rPr>
          <w:rFonts w:ascii="Times New Roman" w:hAnsi="Times New Roman" w:cs="Times New Roman"/>
          <w:sz w:val="24"/>
          <w:szCs w:val="24"/>
        </w:rPr>
        <w:t xml:space="preserve"> separated during the experiments. The experimental setup consisted of the</w:t>
      </w:r>
      <w:r w:rsidR="00871417" w:rsidRPr="00871417">
        <w:rPr>
          <w:rFonts w:ascii="Times New Roman" w:hAnsi="Times New Roman" w:cs="Times New Roman"/>
          <w:sz w:val="24"/>
          <w:szCs w:val="24"/>
        </w:rPr>
        <w:t xml:space="preserve"> column XK16/40 (GE, USA) with a </w:t>
      </w:r>
      <w:r w:rsidR="00C07A70">
        <w:rPr>
          <w:rFonts w:ascii="Times New Roman" w:hAnsi="Times New Roman" w:cs="Times New Roman"/>
          <w:sz w:val="24"/>
          <w:szCs w:val="24"/>
        </w:rPr>
        <w:t>commercially</w:t>
      </w:r>
      <w:r w:rsidR="00871417">
        <w:rPr>
          <w:rFonts w:ascii="Times New Roman" w:hAnsi="Times New Roman" w:cs="Times New Roman"/>
          <w:sz w:val="24"/>
          <w:szCs w:val="24"/>
        </w:rPr>
        <w:t xml:space="preserve"> </w:t>
      </w:r>
      <w:r w:rsidR="007370BA">
        <w:rPr>
          <w:rFonts w:ascii="Times New Roman" w:hAnsi="Times New Roman" w:cs="Times New Roman"/>
          <w:sz w:val="24"/>
          <w:szCs w:val="24"/>
        </w:rPr>
        <w:t xml:space="preserve">accessible </w:t>
      </w:r>
      <w:proofErr w:type="spellStart"/>
      <w:r w:rsidR="007370BA">
        <w:rPr>
          <w:rFonts w:ascii="Times New Roman" w:hAnsi="Times New Roman" w:cs="Times New Roman"/>
          <w:sz w:val="24"/>
          <w:szCs w:val="24"/>
        </w:rPr>
        <w:t>Dowex</w:t>
      </w:r>
      <w:proofErr w:type="spellEnd"/>
      <w:r w:rsidR="007370BA">
        <w:rPr>
          <w:rFonts w:ascii="Times New Roman" w:hAnsi="Times New Roman" w:cs="Times New Roman"/>
          <w:sz w:val="24"/>
          <w:szCs w:val="24"/>
        </w:rPr>
        <w:t xml:space="preserve"> 550A</w:t>
      </w:r>
      <w:r w:rsidR="00871417">
        <w:rPr>
          <w:rFonts w:ascii="Times New Roman" w:hAnsi="Times New Roman" w:cs="Times New Roman"/>
          <w:sz w:val="24"/>
          <w:szCs w:val="24"/>
        </w:rPr>
        <w:t xml:space="preserve"> anion exchange </w:t>
      </w:r>
      <w:r w:rsidR="007370BA">
        <w:rPr>
          <w:rFonts w:ascii="Times New Roman" w:hAnsi="Times New Roman" w:cs="Times New Roman"/>
          <w:sz w:val="24"/>
          <w:szCs w:val="24"/>
        </w:rPr>
        <w:t>resin</w:t>
      </w:r>
      <w:r w:rsidR="00871417">
        <w:rPr>
          <w:rFonts w:ascii="Times New Roman" w:hAnsi="Times New Roman" w:cs="Times New Roman"/>
          <w:sz w:val="24"/>
          <w:szCs w:val="24"/>
        </w:rPr>
        <w:t xml:space="preserve"> (Dow, USA) with a</w:t>
      </w:r>
      <w:r w:rsidR="00871417" w:rsidRPr="00871417">
        <w:rPr>
          <w:rFonts w:ascii="Times New Roman" w:hAnsi="Times New Roman" w:cs="Times New Roman"/>
          <w:sz w:val="24"/>
          <w:szCs w:val="24"/>
        </w:rPr>
        <w:t xml:space="preserve"> layer height of 23.5 cm and a diameter of 1.6 cm.</w:t>
      </w:r>
      <w:r w:rsidR="00871417">
        <w:rPr>
          <w:rFonts w:ascii="Times New Roman" w:hAnsi="Times New Roman" w:cs="Times New Roman"/>
          <w:sz w:val="24"/>
          <w:szCs w:val="24"/>
        </w:rPr>
        <w:t xml:space="preserve"> </w:t>
      </w:r>
      <w:r w:rsidR="00871417" w:rsidRPr="00871417">
        <w:rPr>
          <w:rFonts w:ascii="Times New Roman" w:hAnsi="Times New Roman" w:cs="Times New Roman"/>
          <w:sz w:val="24"/>
          <w:szCs w:val="24"/>
        </w:rPr>
        <w:t>The discontinuous station also consisted of a piston dosing pump and a three-way electromagnetically controlled valve used to inject the separated mixture.</w:t>
      </w:r>
      <w:r w:rsidR="00871417">
        <w:rPr>
          <w:rFonts w:ascii="Times New Roman" w:hAnsi="Times New Roman" w:cs="Times New Roman"/>
          <w:sz w:val="24"/>
          <w:szCs w:val="24"/>
        </w:rPr>
        <w:t xml:space="preserve"> The</w:t>
      </w:r>
      <w:r w:rsidR="00A96CCA">
        <w:rPr>
          <w:rFonts w:ascii="Times New Roman" w:hAnsi="Times New Roman" w:cs="Times New Roman"/>
          <w:sz w:val="24"/>
          <w:szCs w:val="24"/>
        </w:rPr>
        <w:t xml:space="preserve"> f</w:t>
      </w:r>
      <w:r w:rsidR="00A96CCA" w:rsidRPr="00A96CCA">
        <w:rPr>
          <w:rFonts w:ascii="Times New Roman" w:hAnsi="Times New Roman" w:cs="Times New Roman"/>
          <w:sz w:val="24"/>
          <w:szCs w:val="24"/>
        </w:rPr>
        <w:t>raction samples from these separation</w:t>
      </w:r>
      <w:r w:rsidR="00A96CCA">
        <w:rPr>
          <w:rFonts w:ascii="Times New Roman" w:hAnsi="Times New Roman" w:cs="Times New Roman"/>
          <w:sz w:val="24"/>
          <w:szCs w:val="24"/>
        </w:rPr>
        <w:t xml:space="preserve"> experiments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were </w:t>
      </w:r>
      <w:r w:rsidR="00C07A70" w:rsidRPr="00A96CCA">
        <w:rPr>
          <w:rFonts w:ascii="Times New Roman" w:hAnsi="Times New Roman" w:cs="Times New Roman"/>
          <w:sz w:val="24"/>
          <w:szCs w:val="24"/>
        </w:rPr>
        <w:t>analysed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on HPAEC (High-</w:t>
      </w:r>
      <w:r w:rsidR="000857C2">
        <w:rPr>
          <w:rFonts w:ascii="Times New Roman" w:hAnsi="Times New Roman" w:cs="Times New Roman"/>
          <w:sz w:val="24"/>
          <w:szCs w:val="24"/>
        </w:rPr>
        <w:t>P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erformance Anion Exchange Chromatography) </w:t>
      </w:r>
      <w:proofErr w:type="spellStart"/>
      <w:r w:rsidR="00A96CCA" w:rsidRPr="00A96CCA">
        <w:rPr>
          <w:rFonts w:ascii="Times New Roman" w:hAnsi="Times New Roman" w:cs="Times New Roman"/>
          <w:sz w:val="24"/>
          <w:szCs w:val="24"/>
        </w:rPr>
        <w:t>Dionex</w:t>
      </w:r>
      <w:proofErr w:type="spellEnd"/>
      <w:r w:rsidR="00A96CCA" w:rsidRPr="00A96CCA">
        <w:rPr>
          <w:rFonts w:ascii="Times New Roman" w:hAnsi="Times New Roman" w:cs="Times New Roman"/>
          <w:sz w:val="24"/>
          <w:szCs w:val="24"/>
        </w:rPr>
        <w:t xml:space="preserve"> equipment. It is an ion-exchange liquid chromatograph with pulsed </w:t>
      </w:r>
      <w:r w:rsidR="00C07A70" w:rsidRPr="00A96CCA">
        <w:rPr>
          <w:rFonts w:ascii="Times New Roman" w:hAnsi="Times New Roman" w:cs="Times New Roman"/>
          <w:sz w:val="24"/>
          <w:szCs w:val="24"/>
        </w:rPr>
        <w:t>amperometry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detection. </w:t>
      </w:r>
      <w:r w:rsidR="00871417">
        <w:rPr>
          <w:rFonts w:ascii="Times New Roman" w:hAnsi="Times New Roman" w:cs="Times New Roman"/>
          <w:sz w:val="24"/>
          <w:szCs w:val="24"/>
        </w:rPr>
        <w:t>T</w:t>
      </w:r>
      <w:r w:rsidR="00A96CCA" w:rsidRPr="00A96CCA">
        <w:rPr>
          <w:rFonts w:ascii="Times New Roman" w:hAnsi="Times New Roman" w:cs="Times New Roman"/>
          <w:sz w:val="24"/>
          <w:szCs w:val="24"/>
        </w:rPr>
        <w:t>he con</w:t>
      </w:r>
      <w:r w:rsidR="00871417">
        <w:rPr>
          <w:rFonts w:ascii="Times New Roman" w:hAnsi="Times New Roman" w:cs="Times New Roman"/>
          <w:sz w:val="24"/>
          <w:szCs w:val="24"/>
        </w:rPr>
        <w:t>centrations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</w:t>
      </w:r>
      <w:r w:rsidR="007370BA">
        <w:rPr>
          <w:rFonts w:ascii="Times New Roman" w:hAnsi="Times New Roman" w:cs="Times New Roman"/>
          <w:sz w:val="24"/>
          <w:szCs w:val="24"/>
        </w:rPr>
        <w:t>of the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</w:t>
      </w:r>
      <w:r w:rsidR="00C07A70">
        <w:rPr>
          <w:rFonts w:ascii="Times New Roman" w:hAnsi="Times New Roman" w:cs="Times New Roman"/>
          <w:sz w:val="24"/>
          <w:szCs w:val="24"/>
        </w:rPr>
        <w:t>components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</w:t>
      </w:r>
      <w:r w:rsidR="007370BA">
        <w:rPr>
          <w:rFonts w:ascii="Times New Roman" w:hAnsi="Times New Roman" w:cs="Times New Roman"/>
          <w:sz w:val="24"/>
          <w:szCs w:val="24"/>
        </w:rPr>
        <w:t>in the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individual fractions were determined by integration </w:t>
      </w:r>
      <w:r w:rsidR="007370BA">
        <w:rPr>
          <w:rFonts w:ascii="Times New Roman" w:hAnsi="Times New Roman" w:cs="Times New Roman"/>
          <w:sz w:val="24"/>
          <w:szCs w:val="24"/>
        </w:rPr>
        <w:t>of the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peaks and comparison </w:t>
      </w:r>
      <w:r w:rsidR="007370BA">
        <w:rPr>
          <w:rFonts w:ascii="Times New Roman" w:hAnsi="Times New Roman" w:cs="Times New Roman"/>
          <w:sz w:val="24"/>
          <w:szCs w:val="24"/>
        </w:rPr>
        <w:t>with the</w:t>
      </w:r>
      <w:r w:rsidR="00A96CCA" w:rsidRPr="00A96CCA">
        <w:rPr>
          <w:rFonts w:ascii="Times New Roman" w:hAnsi="Times New Roman" w:cs="Times New Roman"/>
          <w:sz w:val="24"/>
          <w:szCs w:val="24"/>
        </w:rPr>
        <w:t xml:space="preserve"> standards.</w:t>
      </w:r>
    </w:p>
    <w:p w14:paraId="5027AAA6" w14:textId="57723EA8" w:rsidR="00314550" w:rsidRDefault="00BB2192" w:rsidP="000542E0">
      <w:pPr>
        <w:pStyle w:val="CHISA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Experimental datapoints are loaded with errors </w:t>
      </w:r>
      <w:r w:rsidRPr="00BB2192">
        <w:rPr>
          <w:rFonts w:ascii="Times New Roman" w:hAnsi="Times New Roman" w:cs="Times New Roman"/>
          <w:sz w:val="24"/>
          <w:szCs w:val="24"/>
        </w:rPr>
        <w:t>arising from sample pipetting, integration of analytical peaks, etc.</w:t>
      </w:r>
      <w:r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47795D">
        <w:rPr>
          <w:rFonts w:ascii="Times New Roman" w:hAnsi="Times New Roman" w:cs="Times New Roman"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algorithms have been proposed. </w:t>
      </w:r>
      <w:r w:rsidR="007370BA">
        <w:rPr>
          <w:rFonts w:ascii="Times New Roman" w:hAnsi="Times New Roman" w:cs="Times New Roman"/>
          <w:sz w:val="24"/>
          <w:szCs w:val="24"/>
        </w:rPr>
        <w:t>The first</w:t>
      </w:r>
      <w:r>
        <w:rPr>
          <w:rFonts w:ascii="Times New Roman" w:hAnsi="Times New Roman" w:cs="Times New Roman"/>
          <w:sz w:val="24"/>
          <w:szCs w:val="24"/>
        </w:rPr>
        <w:t xml:space="preserve"> step is the replacement of the</w:t>
      </w:r>
      <w:r w:rsidR="007F259A">
        <w:rPr>
          <w:rFonts w:ascii="Times New Roman" w:hAnsi="Times New Roman" w:cs="Times New Roman"/>
          <w:sz w:val="24"/>
          <w:szCs w:val="24"/>
        </w:rPr>
        <w:t xml:space="preserve"> original measured datapoints </w:t>
      </w:r>
      <w:r w:rsidR="007370BA">
        <w:rPr>
          <w:rFonts w:ascii="Times New Roman" w:hAnsi="Times New Roman" w:cs="Times New Roman"/>
          <w:sz w:val="24"/>
          <w:szCs w:val="24"/>
        </w:rPr>
        <w:t>with the</w:t>
      </w:r>
      <w:r w:rsidR="007F259A">
        <w:rPr>
          <w:rFonts w:ascii="Times New Roman" w:hAnsi="Times New Roman" w:cs="Times New Roman"/>
          <w:sz w:val="24"/>
          <w:szCs w:val="24"/>
        </w:rPr>
        <w:t xml:space="preserve"> fitted asymmetric Gauss curve.</w:t>
      </w:r>
      <w:r w:rsidR="000542E0" w:rsidRPr="00A96CD4">
        <w:rPr>
          <w:rFonts w:ascii="Times New Roman" w:hAnsi="Times New Roman" w:cs="Times New Roman"/>
          <w:color w:val="000000"/>
          <w:sz w:val="24"/>
          <w:vertAlign w:val="superscript"/>
          <w:lang w:val="en-US"/>
        </w:rPr>
        <w:t>[</w:t>
      </w:r>
      <w:r w:rsidR="000542E0">
        <w:rPr>
          <w:rFonts w:ascii="Times New Roman" w:hAnsi="Times New Roman" w:cs="Times New Roman"/>
          <w:color w:val="000000"/>
          <w:sz w:val="24"/>
          <w:vertAlign w:val="superscript"/>
          <w:lang w:val="en-US"/>
        </w:rPr>
        <w:t>2</w:t>
      </w:r>
      <w:r w:rsidR="000542E0" w:rsidRPr="00A96CD4">
        <w:rPr>
          <w:rFonts w:ascii="Times New Roman" w:hAnsi="Times New Roman" w:cs="Times New Roman"/>
          <w:color w:val="000000"/>
          <w:sz w:val="24"/>
          <w:vertAlign w:val="superscript"/>
          <w:lang w:val="en-US"/>
        </w:rPr>
        <w:t>]</w:t>
      </w:r>
    </w:p>
    <w:p w14:paraId="59005EE0" w14:textId="0E087E93" w:rsidR="0066278A" w:rsidRDefault="007370BA" w:rsidP="000542E0">
      <w:pPr>
        <w:pStyle w:val="CHISA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</w:t>
      </w:r>
      <w:r w:rsidR="00BB2192">
        <w:rPr>
          <w:rFonts w:ascii="Times New Roman" w:hAnsi="Times New Roman" w:cs="Times New Roman"/>
          <w:sz w:val="24"/>
          <w:szCs w:val="24"/>
        </w:rPr>
        <w:t xml:space="preserve"> step executes the retention time alignment. This algorithm</w:t>
      </w:r>
      <w:r w:rsidR="00314550">
        <w:rPr>
          <w:rFonts w:ascii="Times New Roman" w:hAnsi="Times New Roman" w:cs="Times New Roman"/>
          <w:sz w:val="24"/>
          <w:szCs w:val="24"/>
        </w:rPr>
        <w:t xml:space="preserve"> is feasible when considering two or more experiments </w:t>
      </w:r>
      <w:r>
        <w:rPr>
          <w:rFonts w:ascii="Times New Roman" w:hAnsi="Times New Roman" w:cs="Times New Roman"/>
          <w:sz w:val="24"/>
          <w:szCs w:val="24"/>
        </w:rPr>
        <w:t>with the</w:t>
      </w:r>
      <w:r w:rsidR="00314550">
        <w:rPr>
          <w:rFonts w:ascii="Times New Roman" w:hAnsi="Times New Roman" w:cs="Times New Roman"/>
          <w:sz w:val="24"/>
          <w:szCs w:val="24"/>
        </w:rPr>
        <w:t xml:space="preserve"> same conditions </w:t>
      </w:r>
      <w:r w:rsidR="005C7DA8">
        <w:rPr>
          <w:rFonts w:ascii="Times New Roman" w:hAnsi="Times New Roman" w:cs="Times New Roman"/>
          <w:sz w:val="24"/>
          <w:szCs w:val="24"/>
        </w:rPr>
        <w:t>(flowrate, column dimensions, etc.)</w:t>
      </w:r>
      <w:r w:rsidR="00314550">
        <w:rPr>
          <w:rFonts w:ascii="Times New Roman" w:hAnsi="Times New Roman" w:cs="Times New Roman"/>
          <w:sz w:val="24"/>
          <w:szCs w:val="24"/>
        </w:rPr>
        <w:t>. In that case, it</w:t>
      </w:r>
      <w:r w:rsidR="005C7DA8">
        <w:rPr>
          <w:rFonts w:ascii="Times New Roman" w:hAnsi="Times New Roman" w:cs="Times New Roman"/>
          <w:sz w:val="24"/>
          <w:szCs w:val="24"/>
        </w:rPr>
        <w:t xml:space="preserve"> calculates the average time of peaks maxima </w:t>
      </w:r>
      <w:r w:rsidR="00314550">
        <w:rPr>
          <w:rFonts w:ascii="Times New Roman" w:hAnsi="Times New Roman" w:cs="Times New Roman"/>
          <w:sz w:val="24"/>
          <w:szCs w:val="24"/>
        </w:rPr>
        <w:t xml:space="preserve">and shifts all the </w:t>
      </w:r>
      <w:r>
        <w:rPr>
          <w:rFonts w:ascii="Times New Roman" w:hAnsi="Times New Roman" w:cs="Times New Roman"/>
          <w:sz w:val="24"/>
          <w:szCs w:val="24"/>
        </w:rPr>
        <w:t>data points</w:t>
      </w:r>
      <w:r w:rsidR="00314550">
        <w:rPr>
          <w:rFonts w:ascii="Times New Roman" w:hAnsi="Times New Roman" w:cs="Times New Roman"/>
          <w:sz w:val="24"/>
          <w:szCs w:val="24"/>
        </w:rPr>
        <w:t xml:space="preserve"> to reach the lowest difference between average maxima values and actual maxima values of all </w:t>
      </w:r>
    </w:p>
    <w:p w14:paraId="27B94FDF" w14:textId="77777777" w:rsidR="00CC1B3B" w:rsidRDefault="00314550" w:rsidP="000542E0">
      <w:pPr>
        <w:pStyle w:val="CHIS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corresponding </w:t>
      </w:r>
      <w:r w:rsidRPr="00085C65">
        <w:rPr>
          <w:rFonts w:ascii="Times New Roman" w:hAnsi="Times New Roman" w:cs="Times New Roman"/>
          <w:sz w:val="24"/>
          <w:szCs w:val="24"/>
          <w:lang w:val="en-US"/>
        </w:rPr>
        <w:t xml:space="preserve">components. </w:t>
      </w:r>
    </w:p>
    <w:p w14:paraId="4465CE3D" w14:textId="59A3CC0A" w:rsidR="00CC1B3B" w:rsidRPr="00CC1B3B" w:rsidRDefault="008A2905" w:rsidP="008A2905">
      <w:pPr>
        <w:pStyle w:val="CHISA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C11BDF0" wp14:editId="3A1A285B">
            <wp:extent cx="4514850" cy="20926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6" b="-225"/>
                    <a:stretch/>
                  </pic:blipFill>
                  <pic:spPr bwMode="auto">
                    <a:xfrm>
                      <a:off x="0" y="0"/>
                      <a:ext cx="4517521" cy="20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0D426" w14:textId="13A7DBB4" w:rsidR="00CC1B3B" w:rsidRPr="00CC1B3B" w:rsidRDefault="00CC1B3B" w:rsidP="000542E0">
      <w:pPr>
        <w:pStyle w:val="CHISA"/>
        <w:jc w:val="center"/>
        <w:rPr>
          <w:rFonts w:ascii="Times New Roman" w:hAnsi="Times New Roman" w:cs="Times New Roman"/>
          <w:i/>
          <w:iCs/>
          <w:szCs w:val="22"/>
          <w:lang w:val="en-US"/>
        </w:rPr>
      </w:pPr>
      <w:r w:rsidRPr="00CC1B3B">
        <w:rPr>
          <w:rFonts w:ascii="Times New Roman" w:hAnsi="Times New Roman" w:cs="Times New Roman"/>
          <w:i/>
          <w:iCs/>
          <w:szCs w:val="22"/>
          <w:lang w:val="en-US"/>
        </w:rPr>
        <w:t xml:space="preserve">Form 1 – Measured </w:t>
      </w:r>
      <w:r w:rsidR="007370BA">
        <w:rPr>
          <w:rFonts w:ascii="Times New Roman" w:hAnsi="Times New Roman" w:cs="Times New Roman"/>
          <w:i/>
          <w:iCs/>
          <w:szCs w:val="22"/>
          <w:lang w:val="en-US"/>
        </w:rPr>
        <w:t>data point</w:t>
      </w:r>
      <w:r w:rsidRPr="00CC1B3B">
        <w:rPr>
          <w:rFonts w:ascii="Times New Roman" w:hAnsi="Times New Roman" w:cs="Times New Roman"/>
          <w:i/>
          <w:iCs/>
          <w:szCs w:val="22"/>
          <w:lang w:val="en-US"/>
        </w:rPr>
        <w:t xml:space="preserve"> and fitted asymmetric Gaussian model curves</w:t>
      </w:r>
    </w:p>
    <w:p w14:paraId="46FEDBF0" w14:textId="60F219B3" w:rsidR="00CC1B3B" w:rsidRPr="008A2905" w:rsidRDefault="00CC1B3B" w:rsidP="000542E0">
      <w:pPr>
        <w:pStyle w:val="CHISA"/>
        <w:jc w:val="both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A40577" w14:textId="5D400E8D" w:rsidR="006E08F3" w:rsidRPr="005C7DA8" w:rsidRDefault="003108B3" w:rsidP="000542E0">
      <w:pPr>
        <w:pStyle w:val="CHISA"/>
        <w:ind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C65">
        <w:rPr>
          <w:rFonts w:ascii="Times New Roman" w:hAnsi="Times New Roman" w:cs="Times New Roman"/>
          <w:sz w:val="24"/>
          <w:szCs w:val="24"/>
          <w:lang w:val="en-US"/>
        </w:rPr>
        <w:t>Optimization proble</w:t>
      </w:r>
      <w:r w:rsidR="00085C6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85C65">
        <w:rPr>
          <w:rFonts w:ascii="Times New Roman" w:hAnsi="Times New Roman" w:cs="Times New Roman"/>
          <w:sz w:val="24"/>
          <w:szCs w:val="24"/>
          <w:lang w:val="en-US"/>
        </w:rPr>
        <w:t xml:space="preserve"> arises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cs-CZ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j,i</m:t>
            </m:r>
          </m:sub>
        </m:sSub>
      </m:oMath>
      <w:r w:rsidRPr="00085C65">
        <w:rPr>
          <w:rFonts w:ascii="Times New Roman" w:hAnsi="Times New Roman" w:cs="Times New Roman"/>
          <w:iCs/>
          <w:sz w:val="24"/>
          <w:szCs w:val="24"/>
          <w:lang w:val="en-US" w:eastAsia="cs-CZ"/>
        </w:rPr>
        <w:t xml:space="preserve"> is time of peak maximum </w:t>
      </w:r>
      <w:r w:rsidR="00571569">
        <w:rPr>
          <w:rFonts w:ascii="Times New Roman" w:hAnsi="Times New Roman" w:cs="Times New Roman"/>
          <w:iCs/>
          <w:sz w:val="24"/>
          <w:szCs w:val="24"/>
          <w:lang w:val="en-US" w:eastAsia="cs-CZ"/>
        </w:rPr>
        <w:t>for</w:t>
      </w:r>
      <w:r w:rsidRPr="00085C65">
        <w:rPr>
          <w:rFonts w:ascii="Times New Roman" w:hAnsi="Times New Roman" w:cs="Times New Roman"/>
          <w:iCs/>
          <w:sz w:val="24"/>
          <w:szCs w:val="24"/>
          <w:lang w:val="en-US" w:eastAsia="cs-CZ"/>
        </w:rPr>
        <w:t xml:space="preserve"> component </w:t>
      </w:r>
      <w:proofErr w:type="spellStart"/>
      <w:r w:rsidRPr="00085C65">
        <w:rPr>
          <w:rFonts w:ascii="Times New Roman" w:hAnsi="Times New Roman" w:cs="Times New Roman"/>
          <w:i/>
          <w:sz w:val="24"/>
          <w:szCs w:val="24"/>
          <w:lang w:val="en-US" w:eastAsia="cs-CZ"/>
        </w:rPr>
        <w:t>i</w:t>
      </w:r>
      <w:proofErr w:type="spellEnd"/>
      <w:r w:rsidRPr="00085C65">
        <w:rPr>
          <w:rFonts w:ascii="Times New Roman" w:hAnsi="Times New Roman" w:cs="Times New Roman"/>
          <w:iCs/>
          <w:sz w:val="24"/>
          <w:szCs w:val="24"/>
          <w:lang w:val="en-US" w:eastAsia="cs-CZ"/>
        </w:rPr>
        <w:t xml:space="preserve"> in experiment </w:t>
      </w:r>
      <w:r w:rsidRPr="00085C65">
        <w:rPr>
          <w:rFonts w:ascii="Times New Roman" w:hAnsi="Times New Roman" w:cs="Times New Roman"/>
          <w:i/>
          <w:sz w:val="24"/>
          <w:szCs w:val="24"/>
          <w:lang w:val="en-US" w:eastAsia="cs-CZ"/>
        </w:rPr>
        <w:t>j</w:t>
      </w:r>
      <w:r w:rsidRPr="00085C65">
        <w:rPr>
          <w:rFonts w:ascii="Times New Roman" w:hAnsi="Times New Roman" w:cs="Times New Roman"/>
          <w:iCs/>
          <w:sz w:val="24"/>
          <w:szCs w:val="24"/>
          <w:lang w:val="en-US" w:eastAsia="cs-CZ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cs-CZ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 w:eastAsia="cs-CZ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085C65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is average time of maxima of the peaks from all experiment for component </w:t>
      </w:r>
      <w:proofErr w:type="spellStart"/>
      <w:r w:rsidRPr="00085C65">
        <w:rPr>
          <w:rFonts w:ascii="Times New Roman" w:hAnsi="Times New Roman" w:cs="Times New Roman"/>
          <w:i/>
          <w:iCs/>
          <w:sz w:val="24"/>
          <w:szCs w:val="24"/>
          <w:lang w:val="en-US" w:eastAsia="cs-CZ"/>
        </w:rPr>
        <w:t>i</w:t>
      </w:r>
      <w:proofErr w:type="spellEnd"/>
      <w:r w:rsidRPr="00085C65">
        <w:rPr>
          <w:rFonts w:ascii="Times New Roman" w:hAnsi="Times New Roman" w:cs="Times New Roman"/>
          <w:sz w:val="24"/>
          <w:szCs w:val="24"/>
          <w:lang w:val="en-US" w:eastAsia="cs-CZ"/>
        </w:rPr>
        <w:t>.</w:t>
      </w:r>
      <w:r w:rsidR="00CC1B3B" w:rsidRPr="00CC1B3B">
        <w:rPr>
          <w:rFonts w:ascii="Cambria Math" w:eastAsia="Arial Unicode MS" w:hAnsi="Cambria Math" w:cs="Times New Roman"/>
          <w:noProof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238"/>
        <w:gridCol w:w="1133"/>
        <w:gridCol w:w="1268"/>
      </w:tblGrid>
      <w:tr w:rsidR="000C6A2A" w14:paraId="1A623F19" w14:textId="77777777" w:rsidTr="00B02B29">
        <w:trPr>
          <w:trHeight w:val="624"/>
        </w:trPr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D7B208" w14:textId="77777777" w:rsidR="000C6A2A" w:rsidRDefault="000C6A2A" w:rsidP="000542E0">
            <w:pPr>
              <w:pStyle w:val="CHISA"/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0347BE" w14:textId="05C522AC" w:rsidR="000C6A2A" w:rsidRPr="00CC1B3B" w:rsidRDefault="00242081" w:rsidP="000542E0">
            <w:pPr>
              <w:jc w:val="both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eastAsiaTheme="minorEastAsia" w:hAnsi="Cambria Math"/>
                  </w:rPr>
                  <m:t>;    j</m:t>
                </m:r>
                <m:r>
                  <w:rPr>
                    <w:rFonts w:ascii="Cambria Math" w:eastAsiaTheme="minorEastAsia" w:hAnsi="Cambria Math"/>
                  </w:rPr>
                  <m:t>=1,2,…n</m:t>
                </m:r>
              </m:oMath>
            </m:oMathPara>
          </w:p>
        </w:tc>
        <w:tc>
          <w:tcPr>
            <w:tcW w:w="1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E43F6E" w14:textId="3800E9AC" w:rsidR="000C6A2A" w:rsidRPr="000C6A2A" w:rsidRDefault="000C6A2A" w:rsidP="000542E0">
            <w:pPr>
              <w:pStyle w:val="CHISA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</w:pPr>
            <w:r w:rsidRPr="000C6A2A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equation </w:t>
            </w:r>
            <w:r w:rsidR="00CC1B3B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>3</w:t>
            </w:r>
          </w:p>
        </w:tc>
      </w:tr>
      <w:tr w:rsidR="00CC1B3B" w14:paraId="1A13BA60" w14:textId="77777777" w:rsidTr="00B02B29">
        <w:trPr>
          <w:trHeight w:val="624"/>
        </w:trPr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573104" w14:textId="77777777" w:rsidR="000C6A2A" w:rsidRDefault="000C6A2A" w:rsidP="000542E0">
            <w:pPr>
              <w:pStyle w:val="CHISA"/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62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C0371F" w14:textId="06E63DFD" w:rsidR="000C6A2A" w:rsidRDefault="008A28F3" w:rsidP="000542E0">
            <w:pPr>
              <w:jc w:val="both"/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j,i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i=1,2,…m</m:t>
                </m:r>
              </m:oMath>
            </m:oMathPara>
          </w:p>
        </w:tc>
        <w:tc>
          <w:tcPr>
            <w:tcW w:w="240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0F82A5" w14:textId="30F08391" w:rsidR="000C6A2A" w:rsidRPr="000C6A2A" w:rsidRDefault="000C6A2A" w:rsidP="00571569">
            <w:pPr>
              <w:pStyle w:val="CHISA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</w:pPr>
            <w:r w:rsidRPr="000C6A2A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equation </w:t>
            </w:r>
            <w:r w:rsidR="00CC1B3B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>4</w:t>
            </w:r>
          </w:p>
        </w:tc>
      </w:tr>
    </w:tbl>
    <w:p w14:paraId="548F8F25" w14:textId="5BC363A2" w:rsidR="00E710FF" w:rsidRDefault="00571569" w:rsidP="00F05823">
      <w:pPr>
        <w:ind w:firstLine="454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T</w:t>
      </w:r>
      <w:r w:rsidR="007370BA">
        <w:rPr>
          <w:rFonts w:eastAsiaTheme="minorEastAsia"/>
          <w:lang w:val="en-US"/>
        </w:rPr>
        <w:t>he t</w:t>
      </w:r>
      <w:r w:rsidR="00E61AB4">
        <w:rPr>
          <w:rFonts w:eastAsiaTheme="minorEastAsia"/>
          <w:lang w:val="en-US"/>
        </w:rPr>
        <w:t>hird step of the pre</w:t>
      </w:r>
      <w:r w:rsidR="0047795D">
        <w:rPr>
          <w:rFonts w:eastAsiaTheme="minorEastAsia"/>
          <w:lang w:val="en-US"/>
        </w:rPr>
        <w:t>-</w:t>
      </w:r>
      <w:r w:rsidR="00E61AB4">
        <w:rPr>
          <w:rFonts w:eastAsiaTheme="minorEastAsia"/>
          <w:lang w:val="en-US"/>
        </w:rPr>
        <w:t xml:space="preserve">processing </w:t>
      </w:r>
      <w:r w:rsidR="003515AC">
        <w:rPr>
          <w:rFonts w:eastAsiaTheme="minorEastAsia"/>
          <w:lang w:val="en-US"/>
        </w:rPr>
        <w:t xml:space="preserve">workflow is </w:t>
      </w:r>
      <w:r w:rsidR="007370BA">
        <w:rPr>
          <w:rFonts w:eastAsiaTheme="minorEastAsia"/>
          <w:lang w:val="en-US"/>
        </w:rPr>
        <w:t xml:space="preserve">the </w:t>
      </w:r>
      <w:r w:rsidR="003515AC">
        <w:rPr>
          <w:rFonts w:eastAsiaTheme="minorEastAsia"/>
          <w:lang w:val="en-US"/>
        </w:rPr>
        <w:t xml:space="preserve">correction of feed </w:t>
      </w:r>
      <w:r w:rsidR="0066278A">
        <w:rPr>
          <w:rFonts w:eastAsiaTheme="minorEastAsia"/>
          <w:lang w:val="en-US"/>
        </w:rPr>
        <w:t xml:space="preserve">duration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/>
              </w:rPr>
              <m:t>feed</m:t>
            </m:r>
          </m:sub>
        </m:sSub>
      </m:oMath>
      <w:r w:rsidR="003515AC">
        <w:rPr>
          <w:rFonts w:eastAsiaTheme="minorEastAsia"/>
          <w:lang w:val="en-US"/>
        </w:rPr>
        <w:t xml:space="preserve"> according to total mass balance in the feed and in the end of the column. </w:t>
      </w:r>
      <w:r w:rsidR="007370BA">
        <w:rPr>
          <w:rFonts w:eastAsiaTheme="minorEastAsia"/>
          <w:lang w:val="en-US"/>
        </w:rPr>
        <w:t>The total</w:t>
      </w:r>
      <w:r w:rsidR="003515AC">
        <w:rPr>
          <w:rFonts w:eastAsiaTheme="minorEastAsia"/>
          <w:lang w:val="en-US"/>
        </w:rPr>
        <w:t xml:space="preserve"> mass balance </w:t>
      </w:r>
      <w:r w:rsidR="007370BA">
        <w:rPr>
          <w:rFonts w:eastAsiaTheme="minorEastAsia"/>
          <w:lang w:val="en-US"/>
        </w:rPr>
        <w:t>in the</w:t>
      </w:r>
      <w:r w:rsidR="003515AC">
        <w:rPr>
          <w:rFonts w:eastAsiaTheme="minorEastAsia"/>
          <w:lang w:val="en-US"/>
        </w:rPr>
        <w:t xml:space="preserve"> feed is </w:t>
      </w:r>
      <w:r w:rsidR="007370BA">
        <w:rPr>
          <w:rFonts w:eastAsiaTheme="minorEastAsia"/>
          <w:lang w:val="en-US"/>
        </w:rPr>
        <w:t>expressed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402"/>
      </w:tblGrid>
      <w:tr w:rsidR="000C6A2A" w14:paraId="55E50AEE" w14:textId="77777777" w:rsidTr="00026A25">
        <w:trPr>
          <w:trHeight w:val="624"/>
        </w:trPr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1B5748" w14:textId="77777777" w:rsidR="000C6A2A" w:rsidRDefault="000C6A2A" w:rsidP="000542E0">
            <w:pPr>
              <w:pStyle w:val="CHISA"/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79D0A4" w14:textId="70C64162" w:rsidR="000C6A2A" w:rsidRPr="00CC1B3B" w:rsidRDefault="00FA1A08" w:rsidP="000542E0">
            <w:pPr>
              <w:jc w:val="both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i,feed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i,feed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/>
                      </w:rPr>
                      <m:t>feed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lang w:eastAsia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45D40F" w14:textId="4F426626" w:rsidR="000C6A2A" w:rsidRPr="000C6A2A" w:rsidRDefault="000C6A2A" w:rsidP="00571569">
            <w:pPr>
              <w:pStyle w:val="CHISA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</w:pPr>
            <w:r w:rsidRPr="000C6A2A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equation </w:t>
            </w:r>
            <w:r w:rsidR="00CC1B3B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>5</w:t>
            </w:r>
          </w:p>
        </w:tc>
      </w:tr>
    </w:tbl>
    <w:p w14:paraId="22DA0916" w14:textId="39C924AC" w:rsidR="003515AC" w:rsidRDefault="003515AC" w:rsidP="000542E0">
      <w:pPr>
        <w:jc w:val="both"/>
        <w:rPr>
          <w:rFonts w:eastAsiaTheme="minorEastAsia"/>
          <w:lang w:val="en-GB" w:eastAsia="en-US"/>
        </w:rPr>
      </w:pPr>
      <w:r w:rsidRPr="0066278A">
        <w:rPr>
          <w:rFonts w:eastAsiaTheme="minorEastAsia"/>
          <w:lang w:val="en-GB" w:eastAsia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i,feed</m:t>
            </m:r>
          </m:sub>
        </m:sSub>
      </m:oMath>
      <w:r w:rsidRPr="0066278A">
        <w:rPr>
          <w:rFonts w:eastAsiaTheme="minorEastAsia"/>
          <w:lang w:val="en-GB"/>
        </w:rPr>
        <w:t xml:space="preserve"> is concentration of component i in the feed</w:t>
      </w:r>
      <w:r w:rsidR="0066278A" w:rsidRPr="0066278A">
        <w:rPr>
          <w:rFonts w:eastAsiaTheme="minorEastAsia"/>
          <w:lang w:val="en-GB"/>
        </w:rPr>
        <w:t xml:space="preserve"> and</w:t>
      </w:r>
      <w:r w:rsidRPr="0066278A">
        <w:rPr>
          <w:rFonts w:eastAsiaTheme="minorEastAsia"/>
          <w:lang w:val="en-GB"/>
        </w:rPr>
        <w:t xml:space="preserve"> </w:t>
      </w:r>
      <w:r w:rsidRPr="0066278A">
        <w:rPr>
          <w:rFonts w:eastAsiaTheme="minorEastAsia"/>
          <w:i/>
          <w:iCs/>
          <w:lang w:val="en-GB"/>
        </w:rPr>
        <w:t>d</w:t>
      </w:r>
      <w:r w:rsidRPr="0066278A">
        <w:rPr>
          <w:rFonts w:eastAsiaTheme="minorEastAsia"/>
          <w:lang w:val="en-GB"/>
        </w:rPr>
        <w:t xml:space="preserve"> is column diameter. </w:t>
      </w:r>
      <w:r w:rsidRPr="0066278A">
        <w:rPr>
          <w:rFonts w:eastAsiaTheme="minorEastAsia"/>
          <w:lang w:val="en-GB" w:eastAsia="en-US"/>
        </w:rPr>
        <w:t xml:space="preserve">The total mass </w:t>
      </w:r>
      <w:r w:rsidR="007370BA">
        <w:rPr>
          <w:rFonts w:eastAsiaTheme="minorEastAsia"/>
          <w:lang w:val="en-GB" w:eastAsia="en-US"/>
        </w:rPr>
        <w:t>at</w:t>
      </w:r>
      <w:r w:rsidRPr="0066278A">
        <w:rPr>
          <w:rFonts w:eastAsiaTheme="minorEastAsia"/>
          <w:lang w:val="en-GB" w:eastAsia="en-US"/>
        </w:rPr>
        <w:t xml:space="preserve"> the end of the column is </w:t>
      </w:r>
      <w:r w:rsidR="007370BA">
        <w:rPr>
          <w:rFonts w:eastAsiaTheme="minorEastAsia"/>
          <w:lang w:val="en-GB" w:eastAsia="en-US"/>
        </w:rPr>
        <w:t>expressed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402"/>
      </w:tblGrid>
      <w:tr w:rsidR="00CC1B3B" w14:paraId="3167D9D4" w14:textId="77777777" w:rsidTr="00B02B29">
        <w:trPr>
          <w:trHeight w:val="624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79899A" w14:textId="77777777" w:rsidR="00CC1B3B" w:rsidRDefault="00CC1B3B" w:rsidP="000542E0">
            <w:pPr>
              <w:pStyle w:val="CHISA"/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0CCC8" w14:textId="4925A0CE" w:rsidR="00CC1B3B" w:rsidRDefault="00FA1A08" w:rsidP="000542E0">
            <w:pPr>
              <w:jc w:val="both"/>
              <w:rPr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i,L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lang w:val="en-GB" w:eastAsia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lang w:val="en-GB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val="en-GB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ε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lang w:val="en-GB" w:eastAsia="en-US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τ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feed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GB"/>
                  </w:rPr>
                  <m:t>dt</m:t>
                </m:r>
              </m:oMath>
            </m:oMathPara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DD0DD0" w14:textId="7782B5A1" w:rsidR="00CC1B3B" w:rsidRPr="000C6A2A" w:rsidRDefault="00CC1B3B" w:rsidP="00571569">
            <w:pPr>
              <w:pStyle w:val="CHISA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</w:pPr>
            <w:r w:rsidRPr="000C6A2A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equation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>6</w:t>
            </w:r>
          </w:p>
        </w:tc>
      </w:tr>
    </w:tbl>
    <w:p w14:paraId="18CD8BBC" w14:textId="7E74045E" w:rsidR="003515AC" w:rsidRPr="0066278A" w:rsidRDefault="003515AC" w:rsidP="000542E0">
      <w:pPr>
        <w:jc w:val="both"/>
        <w:rPr>
          <w:rFonts w:eastAsiaTheme="minorEastAsia"/>
          <w:iCs/>
          <w:lang w:val="en-GB"/>
        </w:rPr>
      </w:pPr>
      <w:r w:rsidRPr="0066278A">
        <w:rPr>
          <w:rFonts w:eastAsiaTheme="minorEastAsia"/>
          <w:iCs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τ</m:t>
        </m:r>
      </m:oMath>
      <w:r w:rsidRPr="0066278A">
        <w:rPr>
          <w:rFonts w:eastAsiaTheme="minorEastAsia"/>
          <w:lang w:val="en-GB"/>
        </w:rPr>
        <w:t xml:space="preserve"> is duration of the experiment. </w:t>
      </w:r>
      <w:r w:rsidR="000857C2">
        <w:rPr>
          <w:rFonts w:eastAsiaTheme="minorEastAsia"/>
          <w:lang w:val="en-GB"/>
        </w:rPr>
        <w:t>Subsequently, t</w:t>
      </w:r>
      <w:r w:rsidR="0066278A" w:rsidRPr="0066278A">
        <w:rPr>
          <w:rFonts w:eastAsiaTheme="minorEastAsia"/>
          <w:lang w:val="en-GB"/>
        </w:rPr>
        <w:t xml:space="preserve">he optimization problem </w:t>
      </w:r>
      <w:r w:rsidR="007370BA">
        <w:rPr>
          <w:rFonts w:eastAsiaTheme="minorEastAsia"/>
          <w:lang w:val="en-GB"/>
        </w:rPr>
        <w:t>arises.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1694"/>
      </w:tblGrid>
      <w:tr w:rsidR="000C6A2A" w14:paraId="41CB8FC0" w14:textId="77777777" w:rsidTr="00B02B29">
        <w:trPr>
          <w:trHeight w:val="454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521513" w14:textId="77777777" w:rsidR="000C6A2A" w:rsidRDefault="000C6A2A" w:rsidP="000542E0">
            <w:pPr>
              <w:pStyle w:val="CHISA"/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DFC7CC" w14:textId="2E9BE623" w:rsidR="000C6A2A" w:rsidRDefault="00525BC1" w:rsidP="000542E0">
            <w:pPr>
              <w:jc w:val="both"/>
              <w:rPr>
                <w:color w:val="00000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Cs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GB"/>
                              </w:rPr>
                              <m:t>feed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GB"/>
                              </w:rPr>
                              <m:t>feed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i,feed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i,L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  <m:r>
                  <w:rPr>
                    <w:rFonts w:ascii="Cambria Math" w:eastAsiaTheme="minorEastAsia" w:hAnsi="Cambria Math"/>
                  </w:rPr>
                  <m:t>;   i=1,2,…m</m:t>
                </m:r>
              </m:oMath>
            </m:oMathPara>
          </w:p>
        </w:tc>
        <w:tc>
          <w:tcPr>
            <w:tcW w:w="16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097C7" w14:textId="5A40797F" w:rsidR="000C6A2A" w:rsidRPr="000C6A2A" w:rsidRDefault="000C6A2A" w:rsidP="00571569">
            <w:pPr>
              <w:pStyle w:val="CHISA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</w:pPr>
            <w:r w:rsidRPr="000C6A2A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 xml:space="preserve">equation </w:t>
            </w:r>
            <w:r w:rsidR="00CC1B3B"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en-US"/>
              </w:rPr>
              <w:t>7</w:t>
            </w:r>
          </w:p>
        </w:tc>
      </w:tr>
    </w:tbl>
    <w:p w14:paraId="03F12275" w14:textId="1DF9E3E5" w:rsidR="000C6A2A" w:rsidRDefault="0066278A" w:rsidP="008254A6">
      <w:pPr>
        <w:ind w:firstLine="454"/>
        <w:jc w:val="both"/>
        <w:rPr>
          <w:rFonts w:eastAsiaTheme="minorEastAsia"/>
          <w:lang w:val="en-GB"/>
        </w:rPr>
      </w:pPr>
      <w:r w:rsidRPr="0066278A">
        <w:rPr>
          <w:rFonts w:eastAsiaTheme="minorEastAsia"/>
          <w:lang w:val="en-GB"/>
        </w:rPr>
        <w:t xml:space="preserve">The determination of the </w:t>
      </w:r>
      <w:r w:rsidRPr="00A73B72">
        <w:rPr>
          <w:rFonts w:eastAsiaTheme="minorEastAsia"/>
          <w:i/>
          <w:iCs/>
          <w:lang w:val="en-GB"/>
        </w:rPr>
        <w:t>u</w:t>
      </w:r>
      <w:r w:rsidRPr="0066278A">
        <w:rPr>
          <w:rFonts w:eastAsiaTheme="minorEastAsia"/>
          <w:lang w:val="en-GB"/>
        </w:rPr>
        <w:t xml:space="preserve">, </w:t>
      </w:r>
      <w:r w:rsidRPr="00A73B72">
        <w:rPr>
          <w:rFonts w:eastAsiaTheme="minorEastAsia"/>
          <w:i/>
          <w:iCs/>
          <w:lang w:val="en-GB"/>
        </w:rPr>
        <w:t>D</w:t>
      </w:r>
      <w:r w:rsidRPr="0066278A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ε</m:t>
        </m:r>
      </m:oMath>
      <w:r w:rsidRPr="0066278A">
        <w:rPr>
          <w:rFonts w:eastAsiaTheme="minorEastAsia"/>
          <w:lang w:val="en-GB"/>
        </w:rPr>
        <w:t xml:space="preserve"> is again optimization problem where in every step </w:t>
      </w:r>
      <w:r w:rsidRPr="003750AF">
        <w:rPr>
          <w:rFonts w:eastAsiaTheme="minorEastAsia"/>
          <w:i/>
          <w:iCs/>
          <w:lang w:val="en-GB"/>
        </w:rPr>
        <w:t>equation</w:t>
      </w:r>
      <w:r w:rsidR="003750AF" w:rsidRPr="003750AF">
        <w:rPr>
          <w:rFonts w:eastAsiaTheme="minorEastAsia"/>
          <w:i/>
          <w:iCs/>
          <w:lang w:val="en-GB"/>
        </w:rPr>
        <w:t> </w:t>
      </w:r>
      <w:r w:rsidRPr="003750AF">
        <w:rPr>
          <w:rFonts w:eastAsiaTheme="minorEastAsia"/>
          <w:i/>
          <w:iCs/>
          <w:lang w:val="en-GB"/>
        </w:rPr>
        <w:t>1</w:t>
      </w:r>
      <w:r w:rsidRPr="0066278A">
        <w:rPr>
          <w:rFonts w:eastAsiaTheme="minorEastAsia"/>
          <w:lang w:val="en-GB"/>
        </w:rPr>
        <w:t xml:space="preserve"> is numerically solved using implicit method of finite elements</w:t>
      </w:r>
      <w:r w:rsidR="00A73B72">
        <w:rPr>
          <w:rFonts w:eastAsiaTheme="minorEastAsia"/>
          <w:lang w:val="en-GB"/>
        </w:rPr>
        <w:t xml:space="preserve"> and the value of the sum of squared errors against measured data is calculated</w:t>
      </w:r>
      <w:r w:rsidRPr="0066278A">
        <w:rPr>
          <w:rFonts w:eastAsiaTheme="minorEastAsia"/>
          <w:lang w:val="en-GB"/>
        </w:rPr>
        <w:t>.</w:t>
      </w:r>
      <w:r w:rsidR="00A73B72">
        <w:rPr>
          <w:rFonts w:eastAsiaTheme="minorEastAsia"/>
          <w:lang w:val="en-GB"/>
        </w:rPr>
        <w:t xml:space="preserve"> </w:t>
      </w:r>
      <w:r w:rsidR="007370BA">
        <w:rPr>
          <w:rFonts w:eastAsiaTheme="minorEastAsia"/>
          <w:lang w:val="en-GB"/>
        </w:rPr>
        <w:t>The optimization</w:t>
      </w:r>
      <w:r w:rsidR="00A73B72">
        <w:rPr>
          <w:rFonts w:eastAsiaTheme="minorEastAsia"/>
          <w:lang w:val="en-GB"/>
        </w:rPr>
        <w:t xml:space="preserve"> problem was solved for each component separately. However, due to </w:t>
      </w:r>
      <w:r w:rsidR="007370BA">
        <w:rPr>
          <w:rFonts w:eastAsiaTheme="minorEastAsia"/>
          <w:lang w:val="en-GB"/>
        </w:rPr>
        <w:t xml:space="preserve">the </w:t>
      </w:r>
      <w:r w:rsidR="00A73B72">
        <w:rPr>
          <w:rFonts w:eastAsiaTheme="minorEastAsia"/>
          <w:lang w:val="en-GB"/>
        </w:rPr>
        <w:t xml:space="preserve">shared parameter </w:t>
      </w:r>
      <m:oMath>
        <m:r>
          <w:rPr>
            <w:rFonts w:ascii="Cambria Math" w:eastAsiaTheme="minorEastAsia" w:hAnsi="Cambria Math"/>
            <w:lang w:val="en-GB"/>
          </w:rPr>
          <m:t>ε</m:t>
        </m:r>
      </m:oMath>
      <w:r w:rsidR="00A73B72">
        <w:rPr>
          <w:rFonts w:eastAsiaTheme="minorEastAsia"/>
          <w:lang w:val="en-GB"/>
        </w:rPr>
        <w:t xml:space="preserve">, the implementation of bilevel optimization is planned </w:t>
      </w:r>
      <w:r w:rsidR="007370BA">
        <w:rPr>
          <w:rFonts w:eastAsiaTheme="minorEastAsia"/>
          <w:lang w:val="en-GB"/>
        </w:rPr>
        <w:t>for</w:t>
      </w:r>
      <w:r w:rsidR="00A73B72">
        <w:rPr>
          <w:rFonts w:eastAsiaTheme="minorEastAsia"/>
          <w:lang w:val="en-GB"/>
        </w:rPr>
        <w:t xml:space="preserve"> following work.</w:t>
      </w:r>
    </w:p>
    <w:p w14:paraId="7135CC29" w14:textId="7BF1BAE4" w:rsidR="00CC1B3B" w:rsidRDefault="00A73B72" w:rsidP="000542E0">
      <w:pPr>
        <w:ind w:firstLine="454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Data pre-processing significantly reduced computing time of the</w:t>
      </w:r>
      <w:r w:rsidR="000C6A2A">
        <w:rPr>
          <w:rFonts w:eastAsiaTheme="minorEastAsia"/>
          <w:lang w:val="en-GB"/>
        </w:rPr>
        <w:t xml:space="preserve"> final optimization algorithm and introduce</w:t>
      </w:r>
      <w:r w:rsidR="009C2261">
        <w:rPr>
          <w:rFonts w:eastAsiaTheme="minorEastAsia"/>
          <w:lang w:val="en-GB"/>
        </w:rPr>
        <w:t>s</w:t>
      </w:r>
      <w:r w:rsidR="000C6A2A">
        <w:rPr>
          <w:rFonts w:eastAsiaTheme="minorEastAsia"/>
          <w:lang w:val="en-GB"/>
        </w:rPr>
        <w:t xml:space="preserve"> higher consistency and reliability in EDM parameters determination process.</w:t>
      </w:r>
    </w:p>
    <w:p w14:paraId="4305AAAC" w14:textId="16ED7DB3" w:rsidR="00CC1B3B" w:rsidRPr="00B02B29" w:rsidRDefault="00CC1B3B" w:rsidP="000542E0">
      <w:pPr>
        <w:jc w:val="both"/>
        <w:rPr>
          <w:rFonts w:eastAsiaTheme="minorEastAsia"/>
          <w:sz w:val="14"/>
          <w:szCs w:val="14"/>
          <w:lang w:val="en-GB"/>
        </w:rPr>
      </w:pPr>
    </w:p>
    <w:p w14:paraId="1541E48F" w14:textId="1707165D" w:rsidR="00A96CD4" w:rsidRPr="00F46319" w:rsidRDefault="00A96CD4" w:rsidP="000542E0">
      <w:pPr>
        <w:spacing w:line="276" w:lineRule="auto"/>
        <w:ind w:left="709" w:hanging="709"/>
        <w:jc w:val="both"/>
        <w:rPr>
          <w:lang w:val="en-US"/>
        </w:rPr>
      </w:pPr>
      <w:r>
        <w:rPr>
          <w:rFonts w:eastAsiaTheme="minorEastAsia"/>
          <w:lang w:val="en-GB"/>
        </w:rPr>
        <w:t xml:space="preserve">[1] </w:t>
      </w:r>
      <w:proofErr w:type="spellStart"/>
      <w:r w:rsidRPr="00F46319">
        <w:rPr>
          <w:lang w:val="en-US"/>
        </w:rPr>
        <w:t>DeVault</w:t>
      </w:r>
      <w:proofErr w:type="spellEnd"/>
      <w:r w:rsidRPr="00F46319">
        <w:rPr>
          <w:lang w:val="en-US"/>
        </w:rPr>
        <w:t xml:space="preserve"> D. (1943): The Theory of Chromatography. </w:t>
      </w:r>
      <w:r w:rsidRPr="00F46319">
        <w:rPr>
          <w:i/>
          <w:lang w:val="en-US"/>
        </w:rPr>
        <w:t xml:space="preserve">Journal of the American Chemical </w:t>
      </w:r>
      <w:r w:rsidR="000542E0" w:rsidRPr="00F46319">
        <w:rPr>
          <w:i/>
          <w:lang w:val="en-US"/>
        </w:rPr>
        <w:t>Society 65</w:t>
      </w:r>
      <w:r w:rsidR="000542E0" w:rsidRPr="00F46319">
        <w:rPr>
          <w:lang w:val="en-US"/>
        </w:rPr>
        <w:t>(4): 532-540.</w:t>
      </w:r>
    </w:p>
    <w:p w14:paraId="59D584CE" w14:textId="14152758" w:rsidR="00CC1B3B" w:rsidRPr="00F46319" w:rsidRDefault="00A96CD4" w:rsidP="000542E0">
      <w:pPr>
        <w:ind w:left="709" w:hanging="709"/>
        <w:jc w:val="both"/>
        <w:rPr>
          <w:rFonts w:eastAsiaTheme="minorEastAsia"/>
          <w:lang w:val="en-US"/>
        </w:rPr>
      </w:pPr>
      <w:r w:rsidRPr="00F46319">
        <w:rPr>
          <w:rFonts w:eastAsiaTheme="minorEastAsia"/>
          <w:lang w:val="en-US"/>
        </w:rPr>
        <w:t xml:space="preserve">[2] Green, </w:t>
      </w:r>
      <w:proofErr w:type="gramStart"/>
      <w:r w:rsidRPr="00F46319">
        <w:rPr>
          <w:rFonts w:eastAsiaTheme="minorEastAsia"/>
          <w:lang w:val="en-US"/>
        </w:rPr>
        <w:t>M.</w:t>
      </w:r>
      <w:proofErr w:type="gramEnd"/>
      <w:r w:rsidR="00F46319">
        <w:rPr>
          <w:rFonts w:eastAsiaTheme="minorEastAsia"/>
          <w:lang w:val="en-US"/>
        </w:rPr>
        <w:t xml:space="preserve"> and</w:t>
      </w:r>
      <w:r w:rsidRPr="00F46319">
        <w:rPr>
          <w:rFonts w:eastAsiaTheme="minorEastAsia"/>
          <w:lang w:val="en-US"/>
        </w:rPr>
        <w:t xml:space="preserve"> X. Chen (2020)</w:t>
      </w:r>
      <w:r w:rsidR="000542E0" w:rsidRPr="00F46319">
        <w:rPr>
          <w:rFonts w:eastAsiaTheme="minorEastAsia"/>
          <w:lang w:val="en-US"/>
        </w:rPr>
        <w:t xml:space="preserve">: </w:t>
      </w:r>
      <w:r w:rsidRPr="00F46319">
        <w:rPr>
          <w:rFonts w:eastAsiaTheme="minorEastAsia"/>
          <w:lang w:val="en-US"/>
        </w:rPr>
        <w:t xml:space="preserve">Data Functionalization for Gas Chromatography in Python. </w:t>
      </w:r>
      <w:r w:rsidRPr="00F46319">
        <w:rPr>
          <w:rFonts w:eastAsiaTheme="minorEastAsia"/>
          <w:i/>
          <w:iCs/>
          <w:lang w:val="en-US"/>
        </w:rPr>
        <w:t>Journal of Chemical Education</w:t>
      </w:r>
      <w:r w:rsidRPr="00F46319">
        <w:rPr>
          <w:rFonts w:eastAsiaTheme="minorEastAsia"/>
          <w:lang w:val="en-US"/>
        </w:rPr>
        <w:t xml:space="preserve"> 97(4): 1172-1175.</w:t>
      </w:r>
    </w:p>
    <w:p w14:paraId="30AE9323" w14:textId="4C6B453B" w:rsidR="00A96CD4" w:rsidRPr="00F46319" w:rsidRDefault="00A96CD4" w:rsidP="000542E0">
      <w:pPr>
        <w:spacing w:line="276" w:lineRule="auto"/>
        <w:jc w:val="both"/>
        <w:rPr>
          <w:lang w:val="en-US"/>
        </w:rPr>
      </w:pPr>
      <w:r w:rsidRPr="00F46319">
        <w:rPr>
          <w:rFonts w:eastAsiaTheme="minorEastAsia"/>
          <w:lang w:val="en-US"/>
        </w:rPr>
        <w:t xml:space="preserve">[3] </w:t>
      </w:r>
      <w:proofErr w:type="spellStart"/>
      <w:r w:rsidRPr="00F46319">
        <w:rPr>
          <w:lang w:val="en-US"/>
        </w:rPr>
        <w:t>Nicoud</w:t>
      </w:r>
      <w:proofErr w:type="spellEnd"/>
      <w:r w:rsidRPr="00F46319">
        <w:rPr>
          <w:lang w:val="en-US"/>
        </w:rPr>
        <w:t xml:space="preserve"> R.M. (2015): </w:t>
      </w:r>
      <w:r w:rsidRPr="00F46319">
        <w:rPr>
          <w:i/>
          <w:lang w:val="en-US"/>
        </w:rPr>
        <w:t>Chromatographic Processes: Modeling, Simulation, and Design</w:t>
      </w:r>
      <w:r w:rsidRPr="00F46319">
        <w:rPr>
          <w:lang w:val="en-US"/>
        </w:rPr>
        <w:t>.</w:t>
      </w:r>
    </w:p>
    <w:p w14:paraId="344F6435" w14:textId="3357EE9E" w:rsidR="00A96CD4" w:rsidRPr="00F46319" w:rsidRDefault="00A96CD4" w:rsidP="000542E0">
      <w:pPr>
        <w:spacing w:line="276" w:lineRule="auto"/>
        <w:ind w:firstLine="680"/>
        <w:jc w:val="both"/>
        <w:rPr>
          <w:lang w:val="en-US"/>
        </w:rPr>
      </w:pPr>
      <w:r w:rsidRPr="00F46319">
        <w:rPr>
          <w:lang w:val="en-US"/>
        </w:rPr>
        <w:t xml:space="preserve"> Cambridge University Press.</w:t>
      </w:r>
    </w:p>
    <w:p w14:paraId="2C78E920" w14:textId="5646762A" w:rsidR="00A96CD4" w:rsidRPr="00F46319" w:rsidRDefault="00A96CD4" w:rsidP="000542E0">
      <w:pPr>
        <w:spacing w:line="276" w:lineRule="auto"/>
        <w:jc w:val="both"/>
        <w:rPr>
          <w:lang w:val="en-US"/>
        </w:rPr>
      </w:pPr>
      <w:r w:rsidRPr="00F46319">
        <w:rPr>
          <w:rFonts w:eastAsiaTheme="minorEastAsia"/>
          <w:lang w:val="en-US"/>
        </w:rPr>
        <w:t xml:space="preserve">[4] </w:t>
      </w:r>
      <w:r w:rsidRPr="00F46319">
        <w:rPr>
          <w:lang w:val="en-US"/>
        </w:rPr>
        <w:t xml:space="preserve">Rodrigues A.E., Pereira C., </w:t>
      </w:r>
      <w:proofErr w:type="spellStart"/>
      <w:r w:rsidRPr="00F46319">
        <w:rPr>
          <w:lang w:val="en-US"/>
        </w:rPr>
        <w:t>Minceva</w:t>
      </w:r>
      <w:proofErr w:type="spellEnd"/>
      <w:r w:rsidRPr="00F46319">
        <w:rPr>
          <w:lang w:val="en-US"/>
        </w:rPr>
        <w:t xml:space="preserve"> M. et al. (2015): </w:t>
      </w:r>
      <w:r w:rsidRPr="00F46319">
        <w:rPr>
          <w:i/>
          <w:lang w:val="en-US"/>
        </w:rPr>
        <w:t>Simulated Moving Bed Technology</w:t>
      </w:r>
      <w:r w:rsidRPr="00F46319">
        <w:rPr>
          <w:lang w:val="en-US"/>
        </w:rPr>
        <w:t>.</w:t>
      </w:r>
    </w:p>
    <w:p w14:paraId="269802C2" w14:textId="3C3AA278" w:rsidR="00A96CD4" w:rsidRPr="00F46319" w:rsidRDefault="00A96CD4" w:rsidP="000542E0">
      <w:pPr>
        <w:spacing w:line="276" w:lineRule="auto"/>
        <w:ind w:firstLine="680"/>
        <w:jc w:val="both"/>
        <w:rPr>
          <w:rFonts w:eastAsiaTheme="minorEastAsia"/>
          <w:lang w:val="en-US"/>
        </w:rPr>
      </w:pPr>
      <w:r w:rsidRPr="00F46319">
        <w:rPr>
          <w:lang w:val="en-US"/>
        </w:rPr>
        <w:t xml:space="preserve"> Butterworth-Heinemann, Oxford.</w:t>
      </w:r>
    </w:p>
    <w:sectPr w:rsidR="00A96CD4" w:rsidRPr="00F46319" w:rsidSect="00D47D2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1215" w14:textId="77777777" w:rsidR="00FA1A08" w:rsidRDefault="00FA1A08" w:rsidP="00853A7C">
      <w:r>
        <w:separator/>
      </w:r>
    </w:p>
  </w:endnote>
  <w:endnote w:type="continuationSeparator" w:id="0">
    <w:p w14:paraId="67108BE4" w14:textId="77777777" w:rsidR="00FA1A08" w:rsidRDefault="00FA1A08" w:rsidP="0085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FC50" w14:textId="77777777" w:rsidR="00FA1A08" w:rsidRDefault="00FA1A08" w:rsidP="00853A7C">
      <w:r>
        <w:separator/>
      </w:r>
    </w:p>
  </w:footnote>
  <w:footnote w:type="continuationSeparator" w:id="0">
    <w:p w14:paraId="719796A2" w14:textId="77777777" w:rsidR="00FA1A08" w:rsidRDefault="00FA1A08" w:rsidP="00853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55"/>
    <w:rsid w:val="00007AD1"/>
    <w:rsid w:val="000130B0"/>
    <w:rsid w:val="000221A7"/>
    <w:rsid w:val="00026A25"/>
    <w:rsid w:val="00032264"/>
    <w:rsid w:val="00036CF7"/>
    <w:rsid w:val="00044588"/>
    <w:rsid w:val="00053187"/>
    <w:rsid w:val="000542E0"/>
    <w:rsid w:val="000641A1"/>
    <w:rsid w:val="00083232"/>
    <w:rsid w:val="000857C2"/>
    <w:rsid w:val="00085C65"/>
    <w:rsid w:val="000C6A2A"/>
    <w:rsid w:val="000F33D9"/>
    <w:rsid w:val="000F50F9"/>
    <w:rsid w:val="00172586"/>
    <w:rsid w:val="001B75EC"/>
    <w:rsid w:val="001C0AC4"/>
    <w:rsid w:val="0020708C"/>
    <w:rsid w:val="00242081"/>
    <w:rsid w:val="00251D8B"/>
    <w:rsid w:val="00275188"/>
    <w:rsid w:val="00286C40"/>
    <w:rsid w:val="00291F9E"/>
    <w:rsid w:val="002959F2"/>
    <w:rsid w:val="002B4DDE"/>
    <w:rsid w:val="002C4A28"/>
    <w:rsid w:val="002D6ADC"/>
    <w:rsid w:val="003108B3"/>
    <w:rsid w:val="00314550"/>
    <w:rsid w:val="0033523D"/>
    <w:rsid w:val="00344A21"/>
    <w:rsid w:val="003515AC"/>
    <w:rsid w:val="00374A02"/>
    <w:rsid w:val="003750AF"/>
    <w:rsid w:val="00380D5B"/>
    <w:rsid w:val="003879E7"/>
    <w:rsid w:val="003A2281"/>
    <w:rsid w:val="003A350C"/>
    <w:rsid w:val="003D0CD4"/>
    <w:rsid w:val="003E052F"/>
    <w:rsid w:val="004207F4"/>
    <w:rsid w:val="00420DA3"/>
    <w:rsid w:val="00426E50"/>
    <w:rsid w:val="0047795D"/>
    <w:rsid w:val="004959DE"/>
    <w:rsid w:val="004A64E1"/>
    <w:rsid w:val="004D3F9A"/>
    <w:rsid w:val="00503404"/>
    <w:rsid w:val="00525BC1"/>
    <w:rsid w:val="0053023A"/>
    <w:rsid w:val="005440E9"/>
    <w:rsid w:val="005570A1"/>
    <w:rsid w:val="00563048"/>
    <w:rsid w:val="00571569"/>
    <w:rsid w:val="005A38B7"/>
    <w:rsid w:val="005C7DA8"/>
    <w:rsid w:val="005D1414"/>
    <w:rsid w:val="005D3593"/>
    <w:rsid w:val="005E4DBA"/>
    <w:rsid w:val="005F3382"/>
    <w:rsid w:val="006352FD"/>
    <w:rsid w:val="00644855"/>
    <w:rsid w:val="00647F5E"/>
    <w:rsid w:val="0066278A"/>
    <w:rsid w:val="00665C53"/>
    <w:rsid w:val="00665E12"/>
    <w:rsid w:val="0067386C"/>
    <w:rsid w:val="006A26A6"/>
    <w:rsid w:val="006C5EAD"/>
    <w:rsid w:val="006E08F3"/>
    <w:rsid w:val="006F0C95"/>
    <w:rsid w:val="007161F7"/>
    <w:rsid w:val="007370BA"/>
    <w:rsid w:val="00784C7B"/>
    <w:rsid w:val="007B5676"/>
    <w:rsid w:val="007D456F"/>
    <w:rsid w:val="007E4B8B"/>
    <w:rsid w:val="007F0422"/>
    <w:rsid w:val="007F0AC3"/>
    <w:rsid w:val="007F259A"/>
    <w:rsid w:val="007F3F78"/>
    <w:rsid w:val="008106F3"/>
    <w:rsid w:val="008254A6"/>
    <w:rsid w:val="00840C0A"/>
    <w:rsid w:val="00845348"/>
    <w:rsid w:val="00853A7C"/>
    <w:rsid w:val="00871417"/>
    <w:rsid w:val="00873DD9"/>
    <w:rsid w:val="00884D45"/>
    <w:rsid w:val="00885B11"/>
    <w:rsid w:val="008A28F3"/>
    <w:rsid w:val="008A2905"/>
    <w:rsid w:val="008B6015"/>
    <w:rsid w:val="008F22F3"/>
    <w:rsid w:val="00910620"/>
    <w:rsid w:val="00911423"/>
    <w:rsid w:val="0094041C"/>
    <w:rsid w:val="009A6A3E"/>
    <w:rsid w:val="009C2261"/>
    <w:rsid w:val="009C2A72"/>
    <w:rsid w:val="009E0E82"/>
    <w:rsid w:val="009F7F72"/>
    <w:rsid w:val="00A071C6"/>
    <w:rsid w:val="00A26616"/>
    <w:rsid w:val="00A32F9E"/>
    <w:rsid w:val="00A700F3"/>
    <w:rsid w:val="00A73B72"/>
    <w:rsid w:val="00A741DB"/>
    <w:rsid w:val="00A876A1"/>
    <w:rsid w:val="00A96CCA"/>
    <w:rsid w:val="00A96CD4"/>
    <w:rsid w:val="00AB151B"/>
    <w:rsid w:val="00B00868"/>
    <w:rsid w:val="00B02B29"/>
    <w:rsid w:val="00B113D4"/>
    <w:rsid w:val="00B25681"/>
    <w:rsid w:val="00B5175D"/>
    <w:rsid w:val="00B5182C"/>
    <w:rsid w:val="00B533FB"/>
    <w:rsid w:val="00B73FDA"/>
    <w:rsid w:val="00B77894"/>
    <w:rsid w:val="00B86953"/>
    <w:rsid w:val="00BA0B68"/>
    <w:rsid w:val="00BA764E"/>
    <w:rsid w:val="00BB2192"/>
    <w:rsid w:val="00BB47A1"/>
    <w:rsid w:val="00BD0F75"/>
    <w:rsid w:val="00BD6404"/>
    <w:rsid w:val="00BE3542"/>
    <w:rsid w:val="00BF3E58"/>
    <w:rsid w:val="00BF597A"/>
    <w:rsid w:val="00C064BD"/>
    <w:rsid w:val="00C07A70"/>
    <w:rsid w:val="00C44D82"/>
    <w:rsid w:val="00CB273C"/>
    <w:rsid w:val="00CC1B3B"/>
    <w:rsid w:val="00CE3E18"/>
    <w:rsid w:val="00D46DA1"/>
    <w:rsid w:val="00D47D29"/>
    <w:rsid w:val="00D51015"/>
    <w:rsid w:val="00D56F2F"/>
    <w:rsid w:val="00D841E3"/>
    <w:rsid w:val="00DB593C"/>
    <w:rsid w:val="00DD7F1C"/>
    <w:rsid w:val="00E42947"/>
    <w:rsid w:val="00E6186C"/>
    <w:rsid w:val="00E61AB4"/>
    <w:rsid w:val="00E64698"/>
    <w:rsid w:val="00E710FF"/>
    <w:rsid w:val="00EB5843"/>
    <w:rsid w:val="00EF3B82"/>
    <w:rsid w:val="00F05823"/>
    <w:rsid w:val="00F25750"/>
    <w:rsid w:val="00F25FF8"/>
    <w:rsid w:val="00F26D18"/>
    <w:rsid w:val="00F43F91"/>
    <w:rsid w:val="00F46319"/>
    <w:rsid w:val="00F63DCF"/>
    <w:rsid w:val="00FA1A08"/>
    <w:rsid w:val="00FD2D44"/>
    <w:rsid w:val="00FF32FA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6DDEF9"/>
  <w15:chartTrackingRefBased/>
  <w15:docId w15:val="{7FE65138-B6E2-41A1-9310-EAEBD62B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after="80"/>
    </w:pPr>
    <w:rPr>
      <w:rFonts w:ascii="Arial" w:hAnsi="Arial"/>
      <w:sz w:val="20"/>
      <w:szCs w:val="20"/>
      <w:lang w:val="en-US" w:eastAsia="en-US"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customStyle="1" w:styleId="CHISA">
    <w:name w:val="CHISA"/>
    <w:rPr>
      <w:rFonts w:ascii="Arial" w:hAnsi="Arial" w:cs="Arial"/>
      <w:sz w:val="22"/>
      <w:lang w:val="en-GB"/>
    </w:rPr>
  </w:style>
  <w:style w:type="character" w:styleId="FollowedHyperlink">
    <w:name w:val="FollowedHyperlink"/>
    <w:uiPriority w:val="99"/>
    <w:semiHidden/>
    <w:unhideWhenUsed/>
    <w:rsid w:val="00D46DA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F9E"/>
    <w:rPr>
      <w:rFonts w:ascii="Tahoma" w:hAnsi="Tahoma" w:cs="Tahoma"/>
      <w:sz w:val="16"/>
      <w:szCs w:val="16"/>
      <w:lang w:val="cs-CZ" w:eastAsia="cs-CZ"/>
    </w:rPr>
  </w:style>
  <w:style w:type="character" w:styleId="Strong">
    <w:name w:val="Strong"/>
    <w:uiPriority w:val="22"/>
    <w:qFormat/>
    <w:rsid w:val="0033523D"/>
    <w:rPr>
      <w:b/>
      <w:bCs/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DB59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C6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554C7B0-7C7D-499E-BE77-9198A45E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839</Words>
  <Characters>4952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11</vt:lpstr>
      <vt:lpstr>11</vt:lpstr>
    </vt:vector>
  </TitlesOfParts>
  <Company>Orgit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subject/>
  <dc:creator>Zuzka</dc:creator>
  <cp:keywords/>
  <cp:lastModifiedBy>Svoboda, Tomáš (DI FA S SUP DWS)</cp:lastModifiedBy>
  <cp:revision>4</cp:revision>
  <cp:lastPrinted>2020-10-24T15:32:00Z</cp:lastPrinted>
  <dcterms:created xsi:type="dcterms:W3CDTF">2022-08-11T19:25:00Z</dcterms:created>
  <dcterms:modified xsi:type="dcterms:W3CDTF">2022-08-11T19:48:00Z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  <property fmtid="{D5CDD505-2E9C-101B-9397-08002B2CF9AE}" pid="3" name="MSIP_Label_a59b6cd5-d141-4a33-8bf1-0ca04484304f_Enabled">
    <vt:lpwstr>true</vt:lpwstr>
  </property>
  <property fmtid="{D5CDD505-2E9C-101B-9397-08002B2CF9AE}" pid="4" name="MSIP_Label_a59b6cd5-d141-4a33-8bf1-0ca04484304f_SetDate">
    <vt:lpwstr>2022-01-31T13:30:58Z</vt:lpwstr>
  </property>
  <property fmtid="{D5CDD505-2E9C-101B-9397-08002B2CF9AE}" pid="5" name="MSIP_Label_a59b6cd5-d141-4a33-8bf1-0ca04484304f_Method">
    <vt:lpwstr>Standard</vt:lpwstr>
  </property>
  <property fmtid="{D5CDD505-2E9C-101B-9397-08002B2CF9AE}" pid="6" name="MSIP_Label_a59b6cd5-d141-4a33-8bf1-0ca04484304f_Name">
    <vt:lpwstr>restricted-default</vt:lpwstr>
  </property>
  <property fmtid="{D5CDD505-2E9C-101B-9397-08002B2CF9AE}" pid="7" name="MSIP_Label_a59b6cd5-d141-4a33-8bf1-0ca04484304f_SiteId">
    <vt:lpwstr>38ae3bcd-9579-4fd4-adda-b42e1495d55a</vt:lpwstr>
  </property>
  <property fmtid="{D5CDD505-2E9C-101B-9397-08002B2CF9AE}" pid="8" name="MSIP_Label_a59b6cd5-d141-4a33-8bf1-0ca04484304f_ActionId">
    <vt:lpwstr>97ac7d0f-e19b-4ee3-90aa-3abc0dafa9d7</vt:lpwstr>
  </property>
  <property fmtid="{D5CDD505-2E9C-101B-9397-08002B2CF9AE}" pid="9" name="MSIP_Label_a59b6cd5-d141-4a33-8bf1-0ca04484304f_ContentBits">
    <vt:lpwstr>0</vt:lpwstr>
  </property>
  <property fmtid="{D5CDD505-2E9C-101B-9397-08002B2CF9AE}" pid="10" name="Document_Confidentiality">
    <vt:lpwstr>Restricted</vt:lpwstr>
  </property>
</Properties>
</file>