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Catalina Zarate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15-09-2026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Prácticas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cata.zarate@duocuc.cl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Roboto" w:cs="Roboto" w:eastAsia="Roboto" w:hAnsi="Roboto"/>
                <w:color w:val="444746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to.pozo@duocuc.cl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Planificación general de entregables de la Fase 2.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del Diagrama del Proceso de Negocio To-Be (BPMN 2.0).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inicial de responsabilidades para el hito del 16 de Octubre.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sesión el equipo revisó el alcance global de la Fase 2 según la Carta Gantt. Se analizó la lógica del Proceso de Negocio To-Be, cubriendo el flujo del estudiante, empresa, administrador y las integraciones con servicios como Mercado Pago y Gemini IA. Se definieron las prioridades para la entrega del Documento del Proceso de Negocio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consolidar la documentación del Proceso de Negocio y asegurar el cumplimiento de las fechas fijadas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estructurar la diagramación BPMN y validar los flujos de integración del sistema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definir la estructura previa de datos necesaria para soportar los procesos modelados. </w:t>
            </w:r>
          </w:p>
        </w:tc>
      </w:tr>
    </w:tbl>
    <w:p w:rsidR="00000000" w:rsidDel="00000000" w:rsidP="00000000" w:rsidRDefault="00000000" w:rsidRPr="00000000" w14:paraId="0000004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Levantamiento de especificaciones técnicas para el DAS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Levantamiento de especificaciones técnicas para el DAS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Modelado inicial del esquema de datos para Firestore/SQ </w:t>
            </w:r>
          </w:p>
        </w:tc>
      </w:tr>
    </w:tbl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Inicio formal de la planificación de la Fase 2 con meta de finalización global fijada para el 16 de Octubre. 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-38093</wp:posOffset>
              </wp:positionV>
              <wp:extent cx="0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-38093</wp:posOffset>
              </wp:positionV>
              <wp:extent cx="0" cy="12700"/>
              <wp:effectExtent b="0" l="0" r="0" t="0"/>
              <wp:wrapNone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ta.zarate@duocuc.cl" TargetMode="External"/><Relationship Id="rId8" Type="http://schemas.openxmlformats.org/officeDocument/2006/relationships/hyperlink" Target="mailto:to.pozo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AjouOp42COytb20GWJrKHt0W9g==">CgMxLjA4AHIhMTFCLWJZYWtCVERtYkRIdGpBNENQQVlYZ05nVFNnYmlw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