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heading=h.j90v7h4qeomo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3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2226550" y="2998950"/>
                            <a:chExt cx="6238900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226550" y="2998950"/>
                              <a:ext cx="6238900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226563" y="2998950"/>
                              <a:ext cx="6238875" cy="1562100"/>
                              <a:chOff x="0" y="0"/>
                              <a:chExt cx="5991225" cy="156210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0" y="0"/>
                                <a:ext cx="5991225" cy="15621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" name="Shape 6"/>
                            <wps:spPr>
                              <a:xfrm>
                                <a:off x="1024671" y="299473"/>
                                <a:ext cx="4966554" cy="1262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3864"/>
                                      <w:sz w:val="48"/>
                                      <w:vertAlign w:val="baseline"/>
                                    </w:rPr>
                                    <w:t xml:space="preserve">Guía2. Desarrollo Proyecto APT 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3864"/>
                                      <w:sz w:val="4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3864"/>
                                      <w:sz w:val="48"/>
                                      <w:vertAlign w:val="baseline"/>
                                    </w:rPr>
                                    <w:t xml:space="preserve">Asignatura Capstone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7" name="Shape 7"/>
                            <wps:spPr>
                              <a:xfrm>
                                <a:off x="0" y="0"/>
                                <a:ext cx="993140" cy="1486894"/>
                              </a:xfrm>
                              <a:prstGeom prst="rect">
                                <a:avLst/>
                              </a:prstGeom>
                              <a:solidFill>
                                <a:srgbClr val="1F3864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30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528"/>
        <w:gridCol w:w="7111"/>
        <w:tblGridChange w:id="0">
          <w:tblGrid>
            <w:gridCol w:w="2528"/>
            <w:gridCol w:w="711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Resumen de avance proyecto APT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240" w:line="276" w:lineRule="auto"/>
              <w:jc w:val="both"/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Durante la Fase 2 del Proyecto APT (PrácticasPro), se llevó a cabo la implementación y consolidación del núcleo tecnológico de la plataforma web. Se completaron exitosamente los siguientes módulos funcionales: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1"/>
              </w:numPr>
              <w:spacing w:after="0" w:afterAutospacing="0" w:line="276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Autenticación y Gestión de Perfiles por Rol (RBAC):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Control de acceso estructurado para Estudiantes, Empresas y Administradores, validando sesiones mediante Django y persistiendo información dinámica en colecciones NoSQL de Google Cloud Firestore.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1"/>
              </w:numPr>
              <w:spacing w:after="0" w:afterAutospacing="0" w:line="276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Buscador de Ofertas y Geolocalización en Tiempo Real: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Filtros dinámicos por área, región y modalidad, acoplados a mapas interactivos alimentados con Leaflet.js.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1"/>
              </w:numPr>
              <w:spacing w:after="0" w:afterAutospacing="0" w:line="276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Módulo de Postulaciones y Feedback de Selección: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Flujo completo de trazabilidad de estados 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88038"/>
                <w:sz w:val="20"/>
                <w:szCs w:val="20"/>
                <w:rtl w:val="0"/>
              </w:rPr>
              <w:t xml:space="preserve">pendiente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88038"/>
                <w:sz w:val="20"/>
                <w:szCs w:val="20"/>
                <w:rtl w:val="0"/>
              </w:rPr>
              <w:t xml:space="preserve">en_revision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88038"/>
                <w:sz w:val="20"/>
                <w:szCs w:val="20"/>
                <w:rtl w:val="0"/>
              </w:rPr>
              <w:t xml:space="preserve">aceptado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88038"/>
                <w:sz w:val="20"/>
                <w:szCs w:val="20"/>
                <w:rtl w:val="0"/>
              </w:rPr>
              <w:t xml:space="preserve">rechazado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) con envío de comentarios por parte de las empresas.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after="240" w:line="276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Asistente Inteligente ProBot IA: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Integración del SDK de Google Gemini 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88038"/>
                <w:sz w:val="20"/>
                <w:szCs w:val="20"/>
                <w:rtl w:val="0"/>
              </w:rPr>
              <w:t xml:space="preserve">google.genai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, modelo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88038"/>
                <w:sz w:val="20"/>
                <w:szCs w:val="20"/>
                <w:rtl w:val="0"/>
              </w:rPr>
              <w:t xml:space="preserve">gemini-1.5-flash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) para el diagnóstico de currículums y la generación automatizada de cartas de presentación.</w:t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Se mantienen los objetivos generales y específicos originales del proyecto, incorporando como ajuste menor la optimización del tiempo de respuesta del módulo de Inteligencia Artificial para mejorar la usabilidad del estudiante.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Se mantiene la metodología de desarrollo ágil iterativa basada en Sprints. Como ajuste metodológico, se aplicó una modularización estricta de scripts estáticos en el frontend (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sz w:val="20"/>
                <w:szCs w:val="20"/>
                <w:rtl w:val="0"/>
              </w:rPr>
              <w:t xml:space="preserve">notificaciones.js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sz w:val="20"/>
                <w:szCs w:val="20"/>
                <w:rtl w:val="0"/>
              </w:rPr>
              <w:t xml:space="preserve">cv_ia.js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) para desacoplar la lógica asíncrona del renderizado de plantillas MVT de Django.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Evidencias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Describe la(s) evidencia(s) que presentarás en este informe de avance y justifica de qué manera esta(s) evidencia(s) permite(n) dar cuenta del desarrollo del proyecto.</w:t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En caso de ser pertinente explica cómo 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resguardar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la calidad de tu Proyecto APT a partir de aspectos propios de tu disciplina (correcta aplicación de metodologías, actividades, herramientas, recursos propios, etc.).</w:t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En este apartado adjuntar la(s) evidencia(s) seleccionada(s) para ser evaluada por el docente.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2. Monitoreo del Plan de Trabajo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Examina cuidadosamente tu plan de trabajo, enfocándote especialmente en la columna de estado de avance y ajustes.</w:t>
            </w:r>
          </w:p>
        </w:tc>
      </w:tr>
    </w:tbl>
    <w:p w:rsidR="00000000" w:rsidDel="00000000" w:rsidP="00000000" w:rsidRDefault="00000000" w:rsidRPr="00000000" w14:paraId="0000001D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page" w:horzAnchor="margin" w:tblpXSpec="center" w:tblpY="3517"/>
        <w:tblW w:w="9776.000000000002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850"/>
        <w:tblGridChange w:id="0">
          <w:tblGrid>
            <w:gridCol w:w="1328"/>
            <w:gridCol w:w="1077"/>
            <w:gridCol w:w="1276"/>
            <w:gridCol w:w="1276"/>
            <w:gridCol w:w="1275"/>
            <w:gridCol w:w="1276"/>
            <w:gridCol w:w="1418"/>
            <w:gridCol w:w="850"/>
          </w:tblGrid>
        </w:tblGridChange>
      </w:tblGrid>
      <w:tr>
        <w:trPr>
          <w:cantSplit w:val="0"/>
          <w:trHeight w:val="415" w:hRule="atLeast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Plan de Trabajo</w:t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Competencia o unidades de competencias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Actividades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Recursos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Duración de la actividad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Observaciones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Estado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Ajustes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Nombra las competencias o unidades de competencias que se relacionan con las diferentes actividades requeridas para el desarrollo del proyecto APT.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Nombra las actividades que se necesitan para desarrollar el proyecto APT. 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Nombra los recursos necesarios para llevar a cabo las actividades definidas.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Señala la duración de cada actividad.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Escribe el nombre del integrante del equipo responsable de cada actividad.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Señala las dificultades o facilitadores que se podrían presentar durante la ejecución de cada una de las actividades propuestas.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Describe el estado de avance de cada actividad.</w:t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c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Tipos de estado: </w:t>
            </w:r>
          </w:p>
          <w:p w:rsidR="00000000" w:rsidDel="00000000" w:rsidP="00000000" w:rsidRDefault="00000000" w:rsidRPr="00000000" w14:paraId="00000037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c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En curso/ Con retraso/ No iniciado/ Completado/ Ajustada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c00000"/>
                <w:sz w:val="16"/>
                <w:szCs w:val="16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Señala los ajustes o reformulaciones que has realizado. </w:t>
            </w:r>
          </w:p>
        </w:tc>
      </w:tr>
    </w:tbl>
    <w:p w:rsidR="00000000" w:rsidDel="00000000" w:rsidP="00000000" w:rsidRDefault="00000000" w:rsidRPr="00000000" w14:paraId="00000039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3. Ajustes a partir del monitoreo </w:t>
            </w:r>
          </w:p>
          <w:p w:rsidR="00000000" w:rsidDel="00000000" w:rsidP="00000000" w:rsidRDefault="00000000" w:rsidRPr="00000000" w14:paraId="0000003B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</w:rPr>
              <w:drawing>
                <wp:inline distB="114300" distT="114300" distL="114300" distR="114300">
                  <wp:extent cx="5895975" cy="3416300"/>
                  <wp:effectExtent b="0" l="0" r="0" t="0"/>
                  <wp:docPr id="3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5975" cy="3416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:rsidR="00000000" w:rsidDel="00000000" w:rsidP="00000000" w:rsidRDefault="00000000" w:rsidRPr="00000000" w14:paraId="0000003D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0" w:bottomFromText="0" w:vertAnchor="text" w:horzAnchor="text" w:tblpX="-572" w:tblpY="1"/>
        <w:tblW w:w="94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both"/>
              <w:rPr>
                <w:rFonts w:ascii="Arial" w:cs="Arial" w:eastAsia="Arial" w:hAnsi="Arial"/>
                <w:b w:val="1"/>
                <w:b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Factores que han facilitado y/o dificultado el desarrollo de mi plan de trabajo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48dd4"/>
                <w:sz w:val="20"/>
                <w:szCs w:val="20"/>
                <w:rtl w:val="0"/>
              </w:rPr>
              <w:t xml:space="preserve">Factores Facilitadores: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2"/>
              </w:numPr>
              <w:spacing w:after="0" w:afterAutospacing="0" w:line="276" w:lineRule="auto"/>
              <w:ind w:left="720" w:hanging="360"/>
              <w:rPr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48dd4"/>
                <w:sz w:val="20"/>
                <w:szCs w:val="20"/>
                <w:rtl w:val="0"/>
              </w:rPr>
              <w:t xml:space="preserve">Marco Tecnológico:</w:t>
            </w:r>
            <w:r w:rsidDel="00000000" w:rsidR="00000000" w:rsidRPr="00000000">
              <w:rPr>
                <w:rFonts w:ascii="Arial" w:cs="Arial" w:eastAsia="Arial" w:hAnsi="Arial"/>
                <w:color w:val="548dd4"/>
                <w:sz w:val="20"/>
                <w:szCs w:val="20"/>
                <w:rtl w:val="0"/>
              </w:rPr>
              <w:t xml:space="preserve"> El uso del framework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48dd4"/>
                <w:sz w:val="20"/>
                <w:szCs w:val="20"/>
                <w:rtl w:val="0"/>
              </w:rPr>
              <w:t xml:space="preserve">Django 5</w:t>
            </w:r>
            <w:r w:rsidDel="00000000" w:rsidR="00000000" w:rsidRPr="00000000">
              <w:rPr>
                <w:rFonts w:ascii="Arial" w:cs="Arial" w:eastAsia="Arial" w:hAnsi="Arial"/>
                <w:color w:val="548dd4"/>
                <w:sz w:val="20"/>
                <w:szCs w:val="20"/>
                <w:rtl w:val="0"/>
              </w:rPr>
              <w:t xml:space="preserve"> junto con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48dd4"/>
                <w:sz w:val="20"/>
                <w:szCs w:val="20"/>
                <w:rtl w:val="0"/>
              </w:rPr>
              <w:t xml:space="preserve">Tailwind CSS</w:t>
            </w:r>
            <w:r w:rsidDel="00000000" w:rsidR="00000000" w:rsidRPr="00000000">
              <w:rPr>
                <w:rFonts w:ascii="Arial" w:cs="Arial" w:eastAsia="Arial" w:hAnsi="Arial"/>
                <w:color w:val="548dd4"/>
                <w:sz w:val="20"/>
                <w:szCs w:val="20"/>
                <w:rtl w:val="0"/>
              </w:rPr>
              <w:t xml:space="preserve"> facilitó la rápida creación de interfaces responsivas y la implementación de la lógica de negocio bajo el patrón MVT.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2"/>
              </w:numPr>
              <w:spacing w:after="0" w:afterAutospacing="0" w:line="276" w:lineRule="auto"/>
              <w:ind w:left="720" w:hanging="360"/>
              <w:rPr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48dd4"/>
                <w:sz w:val="20"/>
                <w:szCs w:val="20"/>
                <w:rtl w:val="0"/>
              </w:rPr>
              <w:t xml:space="preserve">Flexibilidad de Firestore:</w:t>
            </w:r>
            <w:r w:rsidDel="00000000" w:rsidR="00000000" w:rsidRPr="00000000">
              <w:rPr>
                <w:rFonts w:ascii="Arial" w:cs="Arial" w:eastAsia="Arial" w:hAnsi="Arial"/>
                <w:color w:val="548dd4"/>
                <w:sz w:val="20"/>
                <w:szCs w:val="20"/>
                <w:rtl w:val="0"/>
              </w:rPr>
              <w:t xml:space="preserve"> La base de datos orientada a documentos en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48dd4"/>
                <w:sz w:val="20"/>
                <w:szCs w:val="20"/>
                <w:rtl w:val="0"/>
              </w:rPr>
              <w:t xml:space="preserve">Google Cloud Firestore</w:t>
            </w:r>
            <w:r w:rsidDel="00000000" w:rsidR="00000000" w:rsidRPr="00000000">
              <w:rPr>
                <w:rFonts w:ascii="Arial" w:cs="Arial" w:eastAsia="Arial" w:hAnsi="Arial"/>
                <w:color w:val="548dd4"/>
                <w:sz w:val="20"/>
                <w:szCs w:val="20"/>
                <w:rtl w:val="0"/>
              </w:rPr>
              <w:t xml:space="preserve"> permitió modificar esquemas de datos sin afectar la disponibilidad del sistema.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2"/>
              </w:numPr>
              <w:spacing w:after="240" w:line="276" w:lineRule="auto"/>
              <w:ind w:left="720" w:hanging="360"/>
              <w:rPr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48dd4"/>
                <w:sz w:val="20"/>
                <w:szCs w:val="20"/>
                <w:rtl w:val="0"/>
              </w:rPr>
              <w:t xml:space="preserve">Sinergia en el Desarrollo:</w:t>
            </w:r>
            <w:r w:rsidDel="00000000" w:rsidR="00000000" w:rsidRPr="00000000">
              <w:rPr>
                <w:rFonts w:ascii="Arial" w:cs="Arial" w:eastAsia="Arial" w:hAnsi="Arial"/>
                <w:color w:val="548dd4"/>
                <w:sz w:val="20"/>
                <w:szCs w:val="20"/>
                <w:rtl w:val="0"/>
              </w:rPr>
              <w:t xml:space="preserve"> La adopción de metodologías de trabajo estructuradas y el control de versiones permitieron un flujo continuo en la integración de componentes.</w:t>
            </w:r>
          </w:p>
          <w:p w:rsidR="00000000" w:rsidDel="00000000" w:rsidP="00000000" w:rsidRDefault="00000000" w:rsidRPr="00000000" w14:paraId="00000042">
            <w:pPr>
              <w:spacing w:line="276" w:lineRule="auto"/>
              <w:jc w:val="both"/>
              <w:rPr>
                <w:rFonts w:ascii="Arial" w:cs="Arial" w:eastAsia="Arial" w:hAnsi="Arial"/>
                <w:b w:val="1"/>
                <w:b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48dd4"/>
                <w:sz w:val="20"/>
                <w:szCs w:val="20"/>
                <w:rtl w:val="0"/>
              </w:rPr>
              <w:t xml:space="preserve">Factores Dificultadores y Soluciones: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3"/>
              </w:numPr>
              <w:spacing w:after="0" w:afterAutospacing="0" w:line="276" w:lineRule="auto"/>
              <w:ind w:left="720" w:hanging="360"/>
              <w:rPr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48dd4"/>
                <w:sz w:val="20"/>
                <w:szCs w:val="20"/>
                <w:rtl w:val="0"/>
              </w:rPr>
              <w:t xml:space="preserve">Latencia y llamadas asíncronas de IA:</w:t>
            </w:r>
            <w:r w:rsidDel="00000000" w:rsidR="00000000" w:rsidRPr="00000000">
              <w:rPr>
                <w:rFonts w:ascii="Arial" w:cs="Arial" w:eastAsia="Arial" w:hAnsi="Arial"/>
                <w:color w:val="548dd4"/>
                <w:sz w:val="20"/>
                <w:szCs w:val="20"/>
                <w:rtl w:val="0"/>
              </w:rPr>
              <w:t xml:space="preserve"> Se presentó latencia al consultar la API de Google Gemini y la necesidad de manejar estados de espera sin bloquear la interfaz.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48dd4"/>
                <w:sz w:val="20"/>
                <w:szCs w:val="20"/>
                <w:rtl w:val="0"/>
              </w:rPr>
              <w:t xml:space="preserve">Solución:</w:t>
            </w:r>
            <w:r w:rsidDel="00000000" w:rsidR="00000000" w:rsidRPr="00000000">
              <w:rPr>
                <w:rFonts w:ascii="Arial" w:cs="Arial" w:eastAsia="Arial" w:hAnsi="Arial"/>
                <w:color w:val="548dd4"/>
                <w:sz w:val="20"/>
                <w:szCs w:val="20"/>
                <w:rtl w:val="0"/>
              </w:rPr>
              <w:t xml:space="preserve"> Se implementaron peticiones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sz w:val="20"/>
                <w:szCs w:val="20"/>
                <w:rtl w:val="0"/>
              </w:rPr>
              <w:t xml:space="preserve">fetch</w:t>
            </w:r>
            <w:r w:rsidDel="00000000" w:rsidR="00000000" w:rsidRPr="00000000">
              <w:rPr>
                <w:rFonts w:ascii="Arial" w:cs="Arial" w:eastAsia="Arial" w:hAnsi="Arial"/>
                <w:color w:val="548dd4"/>
                <w:sz w:val="20"/>
                <w:szCs w:val="20"/>
                <w:rtl w:val="0"/>
              </w:rPr>
              <w:t xml:space="preserve"> asíncronas desde JavaScript cliente, integrando indicadores visuales de carga 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spinners</w:t>
            </w:r>
            <w:r w:rsidDel="00000000" w:rsidR="00000000" w:rsidRPr="00000000">
              <w:rPr>
                <w:rFonts w:ascii="Arial" w:cs="Arial" w:eastAsia="Arial" w:hAnsi="Arial"/>
                <w:color w:val="548dd4"/>
                <w:sz w:val="20"/>
                <w:szCs w:val="20"/>
                <w:rtl w:val="0"/>
              </w:rPr>
              <w:t xml:space="preserve">) y notificaciones flotantes 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toasts</w:t>
            </w:r>
            <w:r w:rsidDel="00000000" w:rsidR="00000000" w:rsidRPr="00000000">
              <w:rPr>
                <w:rFonts w:ascii="Arial" w:cs="Arial" w:eastAsia="Arial" w:hAnsi="Arial"/>
                <w:color w:val="548dd4"/>
                <w:sz w:val="20"/>
                <w:szCs w:val="20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3"/>
              </w:numPr>
              <w:spacing w:after="240" w:line="276" w:lineRule="auto"/>
              <w:ind w:left="720" w:hanging="360"/>
              <w:rPr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48dd4"/>
                <w:sz w:val="20"/>
                <w:szCs w:val="20"/>
                <w:rtl w:val="0"/>
              </w:rPr>
              <w:t xml:space="preserve">Gestión de Carga de Trabajo:</w:t>
            </w:r>
            <w:r w:rsidDel="00000000" w:rsidR="00000000" w:rsidRPr="00000000">
              <w:rPr>
                <w:rFonts w:ascii="Arial" w:cs="Arial" w:eastAsia="Arial" w:hAnsi="Arial"/>
                <w:color w:val="548dd4"/>
                <w:sz w:val="20"/>
                <w:szCs w:val="20"/>
                <w:rtl w:val="0"/>
              </w:rPr>
              <w:t xml:space="preserve"> La complejidad técnica y la integración de múltiples APIs exigieron una reorganización de prioridades durante el Sprint de ingeniería.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48dd4"/>
                <w:sz w:val="20"/>
                <w:szCs w:val="20"/>
                <w:rtl w:val="0"/>
              </w:rPr>
              <w:t xml:space="preserve">Solución:</w:t>
            </w:r>
            <w:r w:rsidDel="00000000" w:rsidR="00000000" w:rsidRPr="00000000">
              <w:rPr>
                <w:rFonts w:ascii="Arial" w:cs="Arial" w:eastAsia="Arial" w:hAnsi="Arial"/>
                <w:color w:val="548dd4"/>
                <w:sz w:val="20"/>
                <w:szCs w:val="20"/>
                <w:rtl w:val="0"/>
              </w:rPr>
              <w:t xml:space="preserve"> Se priorizaron las funcionalidades críticas del sistema para asegurar la entrega del producto mínimo viable antes de pasar a la fase de documentación de usuario.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text" w:horzAnchor="text" w:tblpX="-572" w:tblpY="107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both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ajustadas o eliminadas:</w:t>
            </w:r>
          </w:p>
          <w:p w:rsidR="00000000" w:rsidDel="00000000" w:rsidP="00000000" w:rsidRDefault="00000000" w:rsidRPr="00000000" w14:paraId="00000047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Ajuste en la integración de IA: Se modificó el flujo de llamadas a la API de Gemini para procesar las solicitudes mediante peticiones fetch asíncronas, agregando mensajes de carga (spinners) y notificaciones emergentes para mejorar la experiencia de usuario (UX).   Reorganización del Cronograma de Pruebas: Se ajustó la ventana de ejecución de las pruebas unitarias e integración, trasladando las pruebas masivas de esfuerzo al inicio de la Fase 3 para evaluar el sistema completamente acoplado.</w:t>
            </w:r>
          </w:p>
          <w:p w:rsidR="00000000" w:rsidDel="00000000" w:rsidP="00000000" w:rsidRDefault="00000000" w:rsidRPr="00000000" w14:paraId="00000048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que no has iniciado o están retrasadas: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Pruebas de Certificación Automáticas y Manuales de Usuario: Estas actividades se encuentran pendientes o no iniciadas según la cronología del proyecto.   Motivos: Retraso originado por la priorización y sobrecarga en la fase de desarrollo del núcleo del sistema e integración de la IA, lo que requirió enfocar los recursos en la estabilización de los módulos principales antes de proceder con las guías finales.   Estrategia para la Fase 3: Para no afectar el resultado final, se delimitarán estrictamente las tareas restantes asignando a los integrantes la redacción de manuales de usuario, la confección de la guía de instalación y la preparación de la presentación final, mientras se finalizan las pruebas de carga y el despliegue del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entury Gothic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5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056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7">
          <w:pPr>
            <w:jc w:val="center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1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03309E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03309E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5122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5122E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9E52D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E52D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E52DF"/>
    <w:rPr>
      <w:b w:val="1"/>
      <w:bCs w:val="1"/>
      <w:sz w:val="20"/>
      <w:szCs w:val="20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10" Type="http://schemas.openxmlformats.org/officeDocument/2006/relationships/header" Target="header1.xml"/><Relationship Id="rId9" Type="http://schemas.openxmlformats.org/officeDocument/2006/relationships/image" Target="media/image1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CenturyGothic-regular.ttf"/><Relationship Id="rId6" Type="http://schemas.openxmlformats.org/officeDocument/2006/relationships/font" Target="fonts/CenturyGothic-bold.ttf"/><Relationship Id="rId7" Type="http://schemas.openxmlformats.org/officeDocument/2006/relationships/font" Target="fonts/CenturyGothic-italic.ttf"/><Relationship Id="rId8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wKhydBdATj3VjHadknX6b7Bpnw==">CgMxLjAyDmguajkwdjdoNHFlb21vOAByITFUWUt1OEw5LXN5dkdpdkMtb3pNRFBVVU9QV1hUUzZtNQ==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2022-08-24T18:14:00Z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